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86FF" w14:textId="50E30045" w:rsidR="0075603E" w:rsidRDefault="000330A1" w:rsidP="0075603E">
      <w:pPr>
        <w:pStyle w:val="Overskrift1"/>
      </w:pPr>
      <w:r>
        <w:t>ARBEIDS</w:t>
      </w:r>
      <w:bookmarkStart w:id="0" w:name="_GoBack"/>
      <w:bookmarkEnd w:id="0"/>
      <w:r>
        <w:t>GRUPPE TEKNISKE TJENESTER</w:t>
      </w:r>
    </w:p>
    <w:p w14:paraId="0F3EFE59" w14:textId="7F8A8FDF" w:rsidR="007C6BFE" w:rsidRPr="007C6BFE" w:rsidRDefault="007C6BFE" w:rsidP="007C6BFE">
      <w:pPr>
        <w:rPr>
          <w:i/>
          <w:sz w:val="20"/>
        </w:rPr>
      </w:pPr>
      <w:r w:rsidRPr="007C6BFE">
        <w:rPr>
          <w:b/>
          <w:i/>
          <w:sz w:val="20"/>
        </w:rPr>
        <w:t>Deltakere:</w:t>
      </w:r>
      <w:r w:rsidRPr="007C6BFE">
        <w:rPr>
          <w:i/>
          <w:sz w:val="20"/>
        </w:rPr>
        <w:t xml:space="preserve"> Fra Åsne</w:t>
      </w:r>
      <w:r w:rsidR="009A4558">
        <w:rPr>
          <w:i/>
          <w:sz w:val="20"/>
        </w:rPr>
        <w:t>s deltok kommunedirektør Stein</w:t>
      </w:r>
      <w:r w:rsidRPr="007C6BFE">
        <w:rPr>
          <w:i/>
          <w:sz w:val="20"/>
        </w:rPr>
        <w:t xml:space="preserve"> Halvorsen, leder for arbeidsgruppen Otto Langmoen og Jarle Skoglund (vara for Marius Skymoen (TV)). Fra Grue deltok Sigbjørn Sæther og Johny Solvang (TV). Fra Våler deltok Marit Ekeberg og Odd Egil Skolegården. Fra Telemarksforsking deltok Kjetil Lie og Erik Magnussen. </w:t>
      </w:r>
    </w:p>
    <w:p w14:paraId="6428E0A5" w14:textId="77777777" w:rsidR="007C6BFE" w:rsidRDefault="007C6BFE" w:rsidP="009307D3"/>
    <w:p w14:paraId="7134BC9D" w14:textId="73EB40C9" w:rsidR="009307D3" w:rsidRDefault="007840C4" w:rsidP="009307D3">
      <w:pPr>
        <w:rPr>
          <w:b/>
        </w:rPr>
      </w:pPr>
      <w:r>
        <w:rPr>
          <w:b/>
        </w:rPr>
        <w:t>1</w:t>
      </w:r>
      <w:r w:rsidR="007C6BFE">
        <w:rPr>
          <w:b/>
        </w:rPr>
        <w:t xml:space="preserve"> Innledende avklaringer og avgrensninger</w:t>
      </w:r>
    </w:p>
    <w:p w14:paraId="415B92AA" w14:textId="77777777" w:rsidR="007C6BFE" w:rsidRDefault="007C6BFE" w:rsidP="007840C4">
      <w:pPr>
        <w:spacing w:after="0" w:line="240" w:lineRule="auto"/>
        <w:rPr>
          <w:sz w:val="20"/>
        </w:rPr>
      </w:pPr>
    </w:p>
    <w:p w14:paraId="62FB4B8F" w14:textId="3C833B02" w:rsidR="007840C4" w:rsidRDefault="00D86E6A" w:rsidP="007840C4">
      <w:pPr>
        <w:spacing w:after="0" w:line="240" w:lineRule="auto"/>
        <w:rPr>
          <w:sz w:val="20"/>
        </w:rPr>
      </w:pPr>
      <w:r>
        <w:rPr>
          <w:sz w:val="20"/>
        </w:rPr>
        <w:t xml:space="preserve">Medlemmene i arbeidsgruppen presenterer seg og egne arbeidsoppgaver, </w:t>
      </w:r>
      <w:r w:rsidR="007840C4">
        <w:rPr>
          <w:sz w:val="20"/>
        </w:rPr>
        <w:t>gjennomgår og forankrer mandatet.</w:t>
      </w:r>
    </w:p>
    <w:p w14:paraId="117B8B3B" w14:textId="4B98FF32" w:rsidR="008E7F52" w:rsidRDefault="008E7F52" w:rsidP="007840C4">
      <w:pPr>
        <w:spacing w:after="0" w:line="240" w:lineRule="auto"/>
        <w:rPr>
          <w:sz w:val="20"/>
        </w:rPr>
      </w:pPr>
    </w:p>
    <w:p w14:paraId="4109D728" w14:textId="72C6F198" w:rsidR="008E7F52" w:rsidRDefault="009A4558" w:rsidP="008E7F52">
      <w:pPr>
        <w:spacing w:after="0" w:line="240" w:lineRule="auto"/>
        <w:rPr>
          <w:sz w:val="20"/>
        </w:rPr>
      </w:pPr>
      <w:r>
        <w:rPr>
          <w:sz w:val="20"/>
        </w:rPr>
        <w:t>Stein</w:t>
      </w:r>
      <w:r w:rsidR="008E7F52">
        <w:rPr>
          <w:sz w:val="20"/>
        </w:rPr>
        <w:t xml:space="preserve"> Halvorsen, kommunedirektør i Åsnes, orienterer kort om kommunestyrevedtakene og arbeidsgruppenes mandat. Arbeidsgruppene skal se på dagens tjenesteproduksjon innen de utvalgte tjenesteområdene, og se på mulige fordeler og utfordringer knyttet til interkommunalt samarbeid. Mindre sårbarhet og større, og mer attraktive fagmiljøer er utgangspunktet for utredningen. Dersom en skal gå for interkommunalt samarbeid på et eller flere tjenesteområder, ligger det videre som et premiss at en skal få til en hensiktsmessig fordeling av arbeidsplasser i de tre kommunene.</w:t>
      </w:r>
    </w:p>
    <w:p w14:paraId="4782F3CF" w14:textId="05D03374" w:rsidR="008E7F52" w:rsidRDefault="008E7F52" w:rsidP="007840C4">
      <w:pPr>
        <w:spacing w:after="0" w:line="240" w:lineRule="auto"/>
        <w:rPr>
          <w:sz w:val="20"/>
        </w:rPr>
      </w:pPr>
    </w:p>
    <w:p w14:paraId="6AC4E9BC" w14:textId="6A0FD153" w:rsidR="007840C4" w:rsidRDefault="007840C4" w:rsidP="007840C4">
      <w:pPr>
        <w:spacing w:after="0" w:line="240" w:lineRule="auto"/>
        <w:rPr>
          <w:sz w:val="20"/>
        </w:rPr>
      </w:pPr>
      <w:r>
        <w:rPr>
          <w:sz w:val="20"/>
        </w:rPr>
        <w:t xml:space="preserve">Gruppen enes om å gjøre en avgrensning i mandatet, i den forstand at en avgrenser utredningen som skal være klar 1. november til å omfatte følgende tjenester: </w:t>
      </w:r>
    </w:p>
    <w:p w14:paraId="1F47D1CD" w14:textId="7929A190" w:rsidR="007840C4" w:rsidRPr="00E4204D" w:rsidRDefault="007840C4" w:rsidP="007840C4">
      <w:pPr>
        <w:pStyle w:val="Listeavsnitt"/>
        <w:numPr>
          <w:ilvl w:val="0"/>
          <w:numId w:val="7"/>
        </w:numPr>
        <w:spacing w:after="0" w:line="240" w:lineRule="auto"/>
        <w:rPr>
          <w:sz w:val="20"/>
        </w:rPr>
      </w:pPr>
      <w:r>
        <w:rPr>
          <w:sz w:val="20"/>
        </w:rPr>
        <w:t>Oppgaver relatert til forvaltning av plan- og bygningsloven, herunder arealplanlegging, b</w:t>
      </w:r>
      <w:r w:rsidRPr="00E4204D">
        <w:rPr>
          <w:sz w:val="20"/>
        </w:rPr>
        <w:t>yggesaksbehandli</w:t>
      </w:r>
      <w:r>
        <w:rPr>
          <w:sz w:val="20"/>
        </w:rPr>
        <w:t xml:space="preserve">ng, tilsyn på byggesak. </w:t>
      </w:r>
      <w:r w:rsidR="008E7F52">
        <w:rPr>
          <w:sz w:val="20"/>
        </w:rPr>
        <w:t xml:space="preserve">Ettersom overordna planoppgaver (samfunnsplanlegging mv.) ligger til stab i alle tre kommuner, holdes disse oppgavene </w:t>
      </w:r>
      <w:r>
        <w:rPr>
          <w:sz w:val="20"/>
        </w:rPr>
        <w:t>utenfor</w:t>
      </w:r>
      <w:r w:rsidR="008E7F52">
        <w:rPr>
          <w:sz w:val="20"/>
        </w:rPr>
        <w:t xml:space="preserve"> utredningen</w:t>
      </w:r>
      <w:r>
        <w:rPr>
          <w:sz w:val="20"/>
        </w:rPr>
        <w:t>.</w:t>
      </w:r>
    </w:p>
    <w:p w14:paraId="21486CBB" w14:textId="20A4FB33" w:rsidR="007840C4" w:rsidRPr="00E4204D" w:rsidRDefault="007840C4" w:rsidP="007840C4">
      <w:pPr>
        <w:pStyle w:val="Listeavsnitt"/>
        <w:numPr>
          <w:ilvl w:val="0"/>
          <w:numId w:val="7"/>
        </w:numPr>
        <w:spacing w:after="0" w:line="240" w:lineRule="auto"/>
        <w:rPr>
          <w:sz w:val="20"/>
        </w:rPr>
      </w:pPr>
      <w:r>
        <w:rPr>
          <w:sz w:val="20"/>
        </w:rPr>
        <w:t>Eiendomsskatt og kommunale avgifter (</w:t>
      </w:r>
      <w:r w:rsidR="00FA3C4E">
        <w:rPr>
          <w:sz w:val="20"/>
        </w:rPr>
        <w:t>Fakturering for GIVAS IKS, som Grue kommune i dag håndterer,</w:t>
      </w:r>
      <w:r>
        <w:rPr>
          <w:sz w:val="20"/>
        </w:rPr>
        <w:t xml:space="preserve"> holdes utenfor)</w:t>
      </w:r>
    </w:p>
    <w:p w14:paraId="728011CE" w14:textId="77777777" w:rsidR="007840C4" w:rsidRDefault="007840C4" w:rsidP="007840C4">
      <w:pPr>
        <w:pStyle w:val="Listeavsnitt"/>
        <w:numPr>
          <w:ilvl w:val="0"/>
          <w:numId w:val="7"/>
        </w:numPr>
        <w:spacing w:after="0" w:line="240" w:lineRule="auto"/>
        <w:rPr>
          <w:sz w:val="20"/>
        </w:rPr>
      </w:pPr>
      <w:r>
        <w:rPr>
          <w:sz w:val="20"/>
        </w:rPr>
        <w:t>Kartlegging av spredte avløp (forurensningsloven)</w:t>
      </w:r>
    </w:p>
    <w:p w14:paraId="3637FDCE" w14:textId="125A2F9D" w:rsidR="007840C4" w:rsidRDefault="007840C4" w:rsidP="007840C4">
      <w:pPr>
        <w:pStyle w:val="Listeavsnitt"/>
        <w:numPr>
          <w:ilvl w:val="0"/>
          <w:numId w:val="7"/>
        </w:numPr>
        <w:spacing w:after="0" w:line="240" w:lineRule="auto"/>
        <w:rPr>
          <w:sz w:val="20"/>
        </w:rPr>
      </w:pPr>
      <w:r>
        <w:rPr>
          <w:sz w:val="20"/>
        </w:rPr>
        <w:t>Kart og GIS (eksisterer allerede et stort interkommunalt samarbeid om GIS-samarbeidssystem, innsynssystem, forvaltningssystem)</w:t>
      </w:r>
    </w:p>
    <w:p w14:paraId="1D1085F4" w14:textId="77777777" w:rsidR="007840C4" w:rsidRDefault="007840C4" w:rsidP="007840C4">
      <w:pPr>
        <w:pStyle w:val="Listeavsnitt"/>
        <w:numPr>
          <w:ilvl w:val="0"/>
          <w:numId w:val="7"/>
        </w:numPr>
        <w:spacing w:after="0" w:line="240" w:lineRule="auto"/>
        <w:rPr>
          <w:sz w:val="20"/>
        </w:rPr>
      </w:pPr>
      <w:r>
        <w:rPr>
          <w:sz w:val="20"/>
        </w:rPr>
        <w:t>Vei (gatelys) og park</w:t>
      </w:r>
    </w:p>
    <w:p w14:paraId="1DEFAB5F" w14:textId="6DCFB135" w:rsidR="007840C4" w:rsidRDefault="007840C4" w:rsidP="007840C4">
      <w:pPr>
        <w:pStyle w:val="Listeavsnitt"/>
        <w:numPr>
          <w:ilvl w:val="0"/>
          <w:numId w:val="7"/>
        </w:numPr>
        <w:spacing w:after="0" w:line="240" w:lineRule="auto"/>
        <w:rPr>
          <w:sz w:val="20"/>
        </w:rPr>
      </w:pPr>
      <w:r>
        <w:rPr>
          <w:sz w:val="20"/>
        </w:rPr>
        <w:t>Flomberedskap og beredskapskoordinator-funksjonen</w:t>
      </w:r>
    </w:p>
    <w:p w14:paraId="0E8E2B2A" w14:textId="77777777" w:rsidR="007840C4" w:rsidRDefault="007840C4" w:rsidP="007840C4">
      <w:pPr>
        <w:pStyle w:val="Listeavsnitt"/>
        <w:numPr>
          <w:ilvl w:val="0"/>
          <w:numId w:val="7"/>
        </w:numPr>
        <w:spacing w:after="0" w:line="240" w:lineRule="auto"/>
        <w:rPr>
          <w:sz w:val="20"/>
        </w:rPr>
      </w:pPr>
      <w:r>
        <w:rPr>
          <w:sz w:val="20"/>
        </w:rPr>
        <w:t>Klima og miljø (ressurser og kompetanse til å følge opp klima og miljøsaker)</w:t>
      </w:r>
    </w:p>
    <w:p w14:paraId="7F1AA0F4" w14:textId="77777777" w:rsidR="007840C4" w:rsidRDefault="007840C4" w:rsidP="007840C4">
      <w:pPr>
        <w:spacing w:after="0" w:line="240" w:lineRule="auto"/>
        <w:rPr>
          <w:sz w:val="20"/>
        </w:rPr>
      </w:pPr>
    </w:p>
    <w:p w14:paraId="0AD9DB08" w14:textId="25B7D7BC" w:rsidR="007840C4" w:rsidRDefault="00D86E6A" w:rsidP="007840C4">
      <w:pPr>
        <w:spacing w:after="0" w:line="240" w:lineRule="auto"/>
        <w:rPr>
          <w:sz w:val="20"/>
        </w:rPr>
      </w:pPr>
      <w:r>
        <w:rPr>
          <w:sz w:val="20"/>
        </w:rPr>
        <w:t>Når ovennevnte utredning (steg 1) er gjennomført</w:t>
      </w:r>
      <w:r w:rsidR="007C6BFE">
        <w:rPr>
          <w:sz w:val="20"/>
        </w:rPr>
        <w:t xml:space="preserve"> og levert</w:t>
      </w:r>
      <w:r>
        <w:rPr>
          <w:sz w:val="20"/>
        </w:rPr>
        <w:t xml:space="preserve">, foreslår arbeidsgruppen </w:t>
      </w:r>
      <w:r w:rsidR="007840C4">
        <w:rPr>
          <w:sz w:val="20"/>
        </w:rPr>
        <w:t>å utrede interkommunalt samarbeid om følgende tjenester som et steg 2:</w:t>
      </w:r>
    </w:p>
    <w:p w14:paraId="2945FADC" w14:textId="0BD011A9" w:rsidR="007840C4" w:rsidRPr="007840C4" w:rsidRDefault="007840C4" w:rsidP="007840C4">
      <w:pPr>
        <w:pStyle w:val="Listeavsnitt"/>
        <w:numPr>
          <w:ilvl w:val="0"/>
          <w:numId w:val="8"/>
        </w:numPr>
        <w:spacing w:after="0" w:line="240" w:lineRule="auto"/>
        <w:rPr>
          <w:sz w:val="20"/>
        </w:rPr>
      </w:pPr>
      <w:r w:rsidRPr="007840C4">
        <w:rPr>
          <w:sz w:val="20"/>
        </w:rPr>
        <w:t>Utredning vann og avløp - forvaltning</w:t>
      </w:r>
    </w:p>
    <w:p w14:paraId="7CB588DC" w14:textId="484230F3" w:rsidR="007840C4" w:rsidRPr="00D47710" w:rsidRDefault="007840C4" w:rsidP="007840C4">
      <w:pPr>
        <w:pStyle w:val="Listeavsnitt"/>
        <w:numPr>
          <w:ilvl w:val="0"/>
          <w:numId w:val="7"/>
        </w:numPr>
        <w:spacing w:after="0" w:line="240" w:lineRule="auto"/>
        <w:rPr>
          <w:sz w:val="20"/>
        </w:rPr>
      </w:pPr>
      <w:r>
        <w:rPr>
          <w:sz w:val="20"/>
        </w:rPr>
        <w:t>Utredning felles eiendomsforvaltning og felles eiendomsdrift</w:t>
      </w:r>
    </w:p>
    <w:p w14:paraId="5B504FF0" w14:textId="77777777" w:rsidR="007840C4" w:rsidRDefault="007840C4" w:rsidP="007840C4">
      <w:pPr>
        <w:spacing w:after="0" w:line="240" w:lineRule="auto"/>
        <w:rPr>
          <w:sz w:val="20"/>
        </w:rPr>
      </w:pPr>
    </w:p>
    <w:p w14:paraId="69843C7B" w14:textId="0268565F" w:rsidR="007840C4" w:rsidRDefault="007840C4" w:rsidP="007840C4">
      <w:pPr>
        <w:spacing w:after="0" w:line="240" w:lineRule="auto"/>
        <w:rPr>
          <w:sz w:val="20"/>
        </w:rPr>
      </w:pPr>
      <w:r>
        <w:rPr>
          <w:sz w:val="20"/>
        </w:rPr>
        <w:t xml:space="preserve">Arbeidsgruppen foreslår at steg 2-utredningen sluttføres i månedsskiftet mars-april 2021. </w:t>
      </w:r>
      <w:r w:rsidR="007C6BFE">
        <w:rPr>
          <w:sz w:val="20"/>
        </w:rPr>
        <w:t>Tidspunkt</w:t>
      </w:r>
      <w:r>
        <w:rPr>
          <w:sz w:val="20"/>
        </w:rPr>
        <w:t xml:space="preserve"> for gjennomføring og leveranse av steg 2-utredning er tentative forslag, og må avstemmes med styringsgruppen.</w:t>
      </w:r>
    </w:p>
    <w:p w14:paraId="29F187B1" w14:textId="4604FCBE" w:rsidR="00FA3C4E" w:rsidRDefault="00FA3C4E" w:rsidP="007840C4">
      <w:pPr>
        <w:spacing w:after="0" w:line="240" w:lineRule="auto"/>
        <w:rPr>
          <w:sz w:val="20"/>
        </w:rPr>
      </w:pPr>
    </w:p>
    <w:p w14:paraId="4860DE0A" w14:textId="32994710" w:rsidR="006A1659" w:rsidRDefault="006A1659" w:rsidP="007840C4">
      <w:pPr>
        <w:spacing w:after="0" w:line="240" w:lineRule="auto"/>
        <w:rPr>
          <w:sz w:val="20"/>
        </w:rPr>
      </w:pPr>
      <w:r>
        <w:rPr>
          <w:sz w:val="20"/>
        </w:rPr>
        <w:t>Arbeidsgruppen møtes til nytt møte over teams 6. oktober kl. 12. Telemarksforsking innkaller.</w:t>
      </w:r>
    </w:p>
    <w:p w14:paraId="3D47F260" w14:textId="77777777" w:rsidR="006A1659" w:rsidRDefault="006A1659" w:rsidP="007840C4">
      <w:pPr>
        <w:spacing w:after="0" w:line="240" w:lineRule="auto"/>
        <w:rPr>
          <w:sz w:val="20"/>
        </w:rPr>
      </w:pPr>
    </w:p>
    <w:p w14:paraId="481F1F10" w14:textId="77777777" w:rsidR="00FA3C4E" w:rsidRDefault="00FA3C4E" w:rsidP="007840C4">
      <w:pPr>
        <w:spacing w:after="0" w:line="240" w:lineRule="auto"/>
        <w:rPr>
          <w:sz w:val="20"/>
        </w:rPr>
      </w:pPr>
    </w:p>
    <w:p w14:paraId="0377351A" w14:textId="1793DC02" w:rsidR="0075603E" w:rsidRDefault="007840C4" w:rsidP="0075603E">
      <w:pPr>
        <w:rPr>
          <w:b/>
        </w:rPr>
      </w:pPr>
      <w:r>
        <w:rPr>
          <w:b/>
        </w:rPr>
        <w:t>2</w:t>
      </w:r>
      <w:r w:rsidR="0075603E">
        <w:rPr>
          <w:b/>
        </w:rPr>
        <w:t xml:space="preserve"> </w:t>
      </w:r>
      <w:r w:rsidR="00FA3C4E">
        <w:rPr>
          <w:b/>
        </w:rPr>
        <w:t>Kort status på tekniske tjenester i de tre kommunene per i dag</w:t>
      </w:r>
    </w:p>
    <w:p w14:paraId="7FE8B461" w14:textId="785873CC" w:rsidR="00FA3C4E" w:rsidRPr="00B31C73" w:rsidRDefault="00FA3C4E" w:rsidP="00FA3C4E">
      <w:pPr>
        <w:spacing w:after="0" w:line="240" w:lineRule="auto"/>
        <w:rPr>
          <w:sz w:val="20"/>
          <w:szCs w:val="20"/>
        </w:rPr>
      </w:pPr>
      <w:r>
        <w:rPr>
          <w:sz w:val="20"/>
        </w:rPr>
        <w:t xml:space="preserve">De tre kommunene </w:t>
      </w:r>
      <w:r w:rsidRPr="00B31C73">
        <w:rPr>
          <w:sz w:val="20"/>
          <w:szCs w:val="20"/>
        </w:rPr>
        <w:t>samarbeider allerede i dag om renovasjonstjenester gjennom det interkommunale selskapet Solør Renovasjon IKS (SOR).</w:t>
      </w:r>
      <w:r w:rsidR="000575F8" w:rsidRPr="00B31C73">
        <w:rPr>
          <w:sz w:val="20"/>
          <w:szCs w:val="20"/>
        </w:rPr>
        <w:t xml:space="preserve"> De tre kommunene samarbeider allerede i dag også om miljørettet helsevern og samfunnsmedisin gjennom samarbeidet Samfunnsmedisin i Solør (SIS). </w:t>
      </w:r>
    </w:p>
    <w:p w14:paraId="1D5CF53C" w14:textId="77777777" w:rsidR="00FA3C4E" w:rsidRPr="00B31C73" w:rsidRDefault="00FA3C4E" w:rsidP="00FA3C4E">
      <w:pPr>
        <w:spacing w:after="0" w:line="240" w:lineRule="auto"/>
        <w:rPr>
          <w:sz w:val="20"/>
          <w:szCs w:val="20"/>
        </w:rPr>
      </w:pPr>
    </w:p>
    <w:p w14:paraId="28044C19" w14:textId="598F743D" w:rsidR="00FA3C4E" w:rsidRDefault="00FA3C4E" w:rsidP="00FA3C4E">
      <w:pPr>
        <w:spacing w:after="0" w:line="240" w:lineRule="auto"/>
        <w:rPr>
          <w:sz w:val="20"/>
        </w:rPr>
      </w:pPr>
      <w:r>
        <w:rPr>
          <w:sz w:val="20"/>
        </w:rPr>
        <w:t>Oppgaver som ligger til tekniske tjenester i Åsnes kommune omfatter oppgaver relatert til forvaltning av plan- og bygningsloven, herunder arealplanlegging, reguleringsplaner, byggesaksbehandling mv. Enheten har også ansvar for oppgaver relatert til forurensningsloven, og som ikke håndteres av landbrukskontoret. Videre er klima og miljøsaker en del av tekniske tjenester, så vel som kart/GIS/oppmåling, kommunale veier, kommunalteknikk, vann, avløp og renovasjon, eiendomsskatt og dertil hørende kommunale avgifter.</w:t>
      </w:r>
      <w:r w:rsidR="000575F8">
        <w:rPr>
          <w:sz w:val="20"/>
        </w:rPr>
        <w:t xml:space="preserve"> </w:t>
      </w:r>
    </w:p>
    <w:p w14:paraId="47E825C9" w14:textId="6375C96F" w:rsidR="00FA3C4E" w:rsidRDefault="00FA3C4E" w:rsidP="00FA3C4E">
      <w:pPr>
        <w:spacing w:after="0" w:line="240" w:lineRule="auto"/>
        <w:rPr>
          <w:sz w:val="20"/>
        </w:rPr>
      </w:pPr>
      <w:r>
        <w:rPr>
          <w:sz w:val="20"/>
        </w:rPr>
        <w:t>I Åsnes kommune har tekniske tjenester ikke noe med eiendomsdriften å gjøre, heller ikke brannvesen</w:t>
      </w:r>
      <w:r w:rsidR="000575F8">
        <w:rPr>
          <w:sz w:val="20"/>
        </w:rPr>
        <w:t xml:space="preserve">et, men kommunen har et ferskt vedtak om </w:t>
      </w:r>
      <w:r w:rsidR="000575F8" w:rsidRPr="000575F8">
        <w:rPr>
          <w:sz w:val="20"/>
        </w:rPr>
        <w:t xml:space="preserve">å kjøpe seg inn </w:t>
      </w:r>
      <w:r w:rsidR="000575F8">
        <w:rPr>
          <w:sz w:val="20"/>
        </w:rPr>
        <w:t xml:space="preserve">i interkommunalt brannvesen nabokommunene i nord. </w:t>
      </w:r>
    </w:p>
    <w:p w14:paraId="2FFE6D88" w14:textId="77777777" w:rsidR="00FA3C4E" w:rsidRDefault="00FA3C4E" w:rsidP="00FA3C4E">
      <w:pPr>
        <w:spacing w:after="0" w:line="240" w:lineRule="auto"/>
        <w:rPr>
          <w:sz w:val="20"/>
        </w:rPr>
      </w:pPr>
    </w:p>
    <w:p w14:paraId="4EBCC842" w14:textId="1A33D35A" w:rsidR="00FA3C4E" w:rsidRDefault="00374439" w:rsidP="00374439">
      <w:pPr>
        <w:spacing w:after="0" w:line="240" w:lineRule="auto"/>
        <w:rPr>
          <w:sz w:val="20"/>
        </w:rPr>
      </w:pPr>
      <w:r>
        <w:rPr>
          <w:sz w:val="20"/>
        </w:rPr>
        <w:t xml:space="preserve">Det pågår for tiden en administrativ omorganisering i Grue kommune. </w:t>
      </w:r>
      <w:r w:rsidR="00FA3C4E">
        <w:rPr>
          <w:sz w:val="20"/>
        </w:rPr>
        <w:t xml:space="preserve">Landbruk og tekniske tjenester </w:t>
      </w:r>
      <w:r>
        <w:rPr>
          <w:sz w:val="20"/>
        </w:rPr>
        <w:t xml:space="preserve">inngår fra 1. oktober i avdeling samfunn, som ellers består av </w:t>
      </w:r>
      <w:r w:rsidRPr="00374439">
        <w:rPr>
          <w:sz w:val="20"/>
        </w:rPr>
        <w:t>eiendom</w:t>
      </w:r>
      <w:r w:rsidR="001D4856">
        <w:rPr>
          <w:sz w:val="20"/>
        </w:rPr>
        <w:t>, herunder drift, vedlikehold og renhold av bygg</w:t>
      </w:r>
      <w:r>
        <w:rPr>
          <w:sz w:val="20"/>
        </w:rPr>
        <w:t xml:space="preserve">, kjøkken, </w:t>
      </w:r>
      <w:r w:rsidRPr="00374439">
        <w:rPr>
          <w:sz w:val="20"/>
        </w:rPr>
        <w:t>servicetorg, kultur og bibliotek</w:t>
      </w:r>
      <w:r>
        <w:rPr>
          <w:sz w:val="20"/>
        </w:rPr>
        <w:t>. Tekniske tjenester mer konkret omfatter i stort de samme oppgavene og t</w:t>
      </w:r>
      <w:r w:rsidR="00FA3C4E">
        <w:rPr>
          <w:sz w:val="20"/>
        </w:rPr>
        <w:t xml:space="preserve">jenestene som </w:t>
      </w:r>
      <w:r>
        <w:rPr>
          <w:sz w:val="20"/>
        </w:rPr>
        <w:t>i Åsnes</w:t>
      </w:r>
      <w:r w:rsidR="00FA3C4E">
        <w:rPr>
          <w:sz w:val="20"/>
        </w:rPr>
        <w:t xml:space="preserve">. I motsetning til Åsnes og Våler, ligger drift av kommuneskogen også under samfunnsavdelingen. Samhandlingen med interkommunale </w:t>
      </w:r>
      <w:r w:rsidR="00FA3C4E">
        <w:rPr>
          <w:sz w:val="20"/>
        </w:rPr>
        <w:lastRenderedPageBreak/>
        <w:t>samarbeid som i dag håndterer tekniske tjenester ligger også til avdelingen, eksempelvis brannvesen (</w:t>
      </w:r>
      <w:proofErr w:type="spellStart"/>
      <w:r w:rsidR="00FA3C4E">
        <w:rPr>
          <w:sz w:val="20"/>
        </w:rPr>
        <w:t>Glomdal</w:t>
      </w:r>
      <w:proofErr w:type="spellEnd"/>
      <w:r w:rsidR="00FA3C4E">
        <w:rPr>
          <w:sz w:val="20"/>
        </w:rPr>
        <w:t xml:space="preserve"> interkommunale brannvesen), GIVAS (</w:t>
      </w:r>
      <w:proofErr w:type="spellStart"/>
      <w:r w:rsidR="00FA3C4E">
        <w:rPr>
          <w:sz w:val="20"/>
        </w:rPr>
        <w:t>Glomdal</w:t>
      </w:r>
      <w:proofErr w:type="spellEnd"/>
      <w:r w:rsidR="00FA3C4E">
        <w:rPr>
          <w:sz w:val="20"/>
        </w:rPr>
        <w:t xml:space="preserve"> interkommunale vann og avløpsselskap) og Solør renovasjon IKS (SOR).</w:t>
      </w:r>
    </w:p>
    <w:p w14:paraId="3B5B5B40" w14:textId="77777777" w:rsidR="00FA3C4E" w:rsidRDefault="00FA3C4E" w:rsidP="00FA3C4E">
      <w:pPr>
        <w:spacing w:after="0" w:line="240" w:lineRule="auto"/>
        <w:rPr>
          <w:sz w:val="20"/>
        </w:rPr>
      </w:pPr>
    </w:p>
    <w:p w14:paraId="39E97864" w14:textId="77777777" w:rsidR="00FA3C4E" w:rsidRDefault="00FA3C4E" w:rsidP="00FA3C4E">
      <w:pPr>
        <w:spacing w:after="0" w:line="240" w:lineRule="auto"/>
        <w:rPr>
          <w:sz w:val="20"/>
        </w:rPr>
      </w:pPr>
      <w:r>
        <w:rPr>
          <w:sz w:val="20"/>
        </w:rPr>
        <w:t>I Våler kommune omfatter tekniske tjenester kommunal eiendomsdrift, herunder utleie og vaktmestertjeneste på kommunale boliger. Videre har teknisk ansvar for vann og avløp, samhandling med SOR IKS på renovasjon, flomberedskap og beredskapskoordinator, vei, gatelys og park (herunder handikap-parkering), klima, miljø og forurensing, byggesak og delingssaker, kart/GIS og oppmåling, renhold (unntatt Våler omsorgssenter), eiendomsskatt og kommunale avgifter. Til slutt sitter enhetsleder også i kommunens tverrfaglige rus- og psykiatriteam, i tillegg til at enheten, sammen med kultur, drifter dagvakt ved bassenget. I Våler har det vært en del prosesser knyttet til overføring av tekniske oppgaver, men en har isteden valgt en strategi med å bygge opp tverrfaglighet internt i enheten.</w:t>
      </w:r>
    </w:p>
    <w:p w14:paraId="7EAED5BF" w14:textId="77777777" w:rsidR="00974139" w:rsidRPr="00974139" w:rsidRDefault="00974139" w:rsidP="004478A0">
      <w:pPr>
        <w:spacing w:after="0" w:line="240" w:lineRule="auto"/>
        <w:rPr>
          <w:sz w:val="20"/>
        </w:rPr>
      </w:pPr>
    </w:p>
    <w:p w14:paraId="2CFB1C72" w14:textId="2D9E3490" w:rsidR="00FA3C4E" w:rsidRDefault="00FA3C4E" w:rsidP="004478A0">
      <w:pPr>
        <w:spacing w:after="0" w:line="240" w:lineRule="auto"/>
        <w:rPr>
          <w:b/>
          <w:sz w:val="20"/>
        </w:rPr>
      </w:pPr>
      <w:r>
        <w:rPr>
          <w:b/>
          <w:sz w:val="20"/>
        </w:rPr>
        <w:t xml:space="preserve">Oppfølging: </w:t>
      </w:r>
      <w:r w:rsidRPr="00FA3C4E">
        <w:rPr>
          <w:sz w:val="20"/>
        </w:rPr>
        <w:t>Årsverk</w:t>
      </w:r>
      <w:r w:rsidR="007C502D">
        <w:rPr>
          <w:sz w:val="20"/>
        </w:rPr>
        <w:t>s</w:t>
      </w:r>
      <w:r w:rsidR="006A1659">
        <w:rPr>
          <w:sz w:val="20"/>
        </w:rPr>
        <w:t>ressurser</w:t>
      </w:r>
      <w:r w:rsidR="008A6D76">
        <w:rPr>
          <w:sz w:val="20"/>
        </w:rPr>
        <w:t xml:space="preserve"> og bemanning</w:t>
      </w:r>
      <w:r w:rsidRPr="00FA3C4E">
        <w:rPr>
          <w:sz w:val="20"/>
        </w:rPr>
        <w:t xml:space="preserve">, </w:t>
      </w:r>
      <w:r w:rsidR="007C502D">
        <w:rPr>
          <w:sz w:val="20"/>
        </w:rPr>
        <w:t>oppgaver, b</w:t>
      </w:r>
      <w:r w:rsidRPr="00FA3C4E">
        <w:rPr>
          <w:sz w:val="20"/>
        </w:rPr>
        <w:t xml:space="preserve">udsjett, </w:t>
      </w:r>
      <w:r w:rsidR="000575F8">
        <w:rPr>
          <w:sz w:val="20"/>
        </w:rPr>
        <w:t>fag- og IT-</w:t>
      </w:r>
      <w:r w:rsidRPr="00FA3C4E">
        <w:rPr>
          <w:sz w:val="20"/>
        </w:rPr>
        <w:t>systemer mv. i den enkelte kommunes tekniske tjenester per i dag konkretiseres nærmere til</w:t>
      </w:r>
      <w:r w:rsidR="006A1659">
        <w:rPr>
          <w:sz w:val="20"/>
        </w:rPr>
        <w:t>, og i</w:t>
      </w:r>
      <w:r w:rsidRPr="00FA3C4E">
        <w:rPr>
          <w:sz w:val="20"/>
        </w:rPr>
        <w:t xml:space="preserve"> neste møte.</w:t>
      </w:r>
    </w:p>
    <w:p w14:paraId="324744E1" w14:textId="732A3444" w:rsidR="00974139" w:rsidRDefault="00974139" w:rsidP="004478A0">
      <w:pPr>
        <w:spacing w:after="0" w:line="240" w:lineRule="auto"/>
        <w:rPr>
          <w:b/>
          <w:sz w:val="20"/>
        </w:rPr>
      </w:pPr>
    </w:p>
    <w:p w14:paraId="35240E50" w14:textId="77777777" w:rsidR="00974139" w:rsidRDefault="00974139" w:rsidP="004478A0">
      <w:pPr>
        <w:spacing w:after="0" w:line="240" w:lineRule="auto"/>
        <w:rPr>
          <w:b/>
          <w:sz w:val="20"/>
        </w:rPr>
      </w:pPr>
    </w:p>
    <w:p w14:paraId="0AB5F16B" w14:textId="733865FF" w:rsidR="002F0FE4" w:rsidRDefault="007840C4" w:rsidP="004478A0">
      <w:pPr>
        <w:spacing w:after="0" w:line="240" w:lineRule="auto"/>
        <w:rPr>
          <w:b/>
          <w:sz w:val="20"/>
        </w:rPr>
      </w:pPr>
      <w:r>
        <w:rPr>
          <w:b/>
          <w:sz w:val="20"/>
        </w:rPr>
        <w:t>3</w:t>
      </w:r>
      <w:r w:rsidR="002F0FE4">
        <w:rPr>
          <w:b/>
          <w:sz w:val="20"/>
        </w:rPr>
        <w:t xml:space="preserve"> SWOT-analyse</w:t>
      </w:r>
    </w:p>
    <w:p w14:paraId="467867A1" w14:textId="22FABB8C" w:rsidR="002F0FE4" w:rsidRDefault="002F0FE4" w:rsidP="004478A0">
      <w:pPr>
        <w:spacing w:after="0" w:line="240" w:lineRule="auto"/>
        <w:rPr>
          <w:b/>
          <w:sz w:val="20"/>
        </w:rPr>
      </w:pPr>
    </w:p>
    <w:p w14:paraId="07F99EB0" w14:textId="6D429900" w:rsidR="008E537F" w:rsidRDefault="008E537F" w:rsidP="004478A0">
      <w:pPr>
        <w:spacing w:after="0" w:line="240" w:lineRule="auto"/>
        <w:rPr>
          <w:sz w:val="20"/>
        </w:rPr>
      </w:pPr>
      <w:r>
        <w:rPr>
          <w:sz w:val="20"/>
        </w:rPr>
        <w:t xml:space="preserve">Under følger stikkordsmessig </w:t>
      </w:r>
      <w:r w:rsidR="003527F3">
        <w:rPr>
          <w:sz w:val="20"/>
        </w:rPr>
        <w:t>oppsum</w:t>
      </w:r>
      <w:r w:rsidR="007C502D">
        <w:rPr>
          <w:sz w:val="20"/>
        </w:rPr>
        <w:t>m</w:t>
      </w:r>
      <w:r w:rsidR="003527F3">
        <w:rPr>
          <w:sz w:val="20"/>
        </w:rPr>
        <w:t xml:space="preserve">ert en (foreløpig) </w:t>
      </w:r>
      <w:r>
        <w:rPr>
          <w:sz w:val="20"/>
        </w:rPr>
        <w:t xml:space="preserve">SWOT-analyse av dagens tekniske tjenester i de tre kommunene. </w:t>
      </w:r>
      <w:r w:rsidR="006A1659">
        <w:rPr>
          <w:sz w:val="20"/>
        </w:rPr>
        <w:t>Arbeidet med SWOT-en fortsetter i møtet 6. oktober.</w:t>
      </w:r>
    </w:p>
    <w:p w14:paraId="5CF4674A" w14:textId="77777777" w:rsidR="003527F3" w:rsidRPr="008E537F" w:rsidRDefault="003527F3" w:rsidP="004478A0">
      <w:pPr>
        <w:spacing w:after="0" w:line="240" w:lineRule="auto"/>
        <w:rPr>
          <w:sz w:val="20"/>
        </w:rPr>
      </w:pPr>
    </w:p>
    <w:tbl>
      <w:tblPr>
        <w:tblStyle w:val="Tabellrutenett"/>
        <w:tblW w:w="0" w:type="auto"/>
        <w:tblLook w:val="04A0" w:firstRow="1" w:lastRow="0" w:firstColumn="1" w:lastColumn="0" w:noHBand="0" w:noVBand="1"/>
      </w:tblPr>
      <w:tblGrid>
        <w:gridCol w:w="524"/>
        <w:gridCol w:w="4973"/>
        <w:gridCol w:w="5185"/>
      </w:tblGrid>
      <w:tr w:rsidR="003527F3" w14:paraId="2C28F1DF" w14:textId="77777777" w:rsidTr="000C68BB">
        <w:tc>
          <w:tcPr>
            <w:tcW w:w="562" w:type="dxa"/>
            <w:vMerge w:val="restart"/>
            <w:textDirection w:val="btLr"/>
          </w:tcPr>
          <w:p w14:paraId="7F247F00" w14:textId="77777777" w:rsidR="009307D3" w:rsidRPr="00820EAE" w:rsidRDefault="009307D3" w:rsidP="000C68BB">
            <w:pPr>
              <w:ind w:left="113" w:right="113"/>
              <w:jc w:val="center"/>
              <w:rPr>
                <w:b/>
                <w:sz w:val="20"/>
              </w:rPr>
            </w:pPr>
            <w:r w:rsidRPr="00820EAE">
              <w:rPr>
                <w:b/>
                <w:sz w:val="20"/>
              </w:rPr>
              <w:t>Interne forhold</w:t>
            </w:r>
          </w:p>
        </w:tc>
        <w:tc>
          <w:tcPr>
            <w:tcW w:w="7371" w:type="dxa"/>
            <w:tcBorders>
              <w:bottom w:val="single" w:sz="4" w:space="0" w:color="auto"/>
            </w:tcBorders>
            <w:shd w:val="clear" w:color="auto" w:fill="DEEAF6" w:themeFill="accent1" w:themeFillTint="33"/>
          </w:tcPr>
          <w:p w14:paraId="36290D2D" w14:textId="77777777" w:rsidR="009307D3" w:rsidRDefault="009307D3" w:rsidP="000C68BB">
            <w:pPr>
              <w:jc w:val="center"/>
              <w:rPr>
                <w:b/>
                <w:sz w:val="20"/>
              </w:rPr>
            </w:pPr>
            <w:r w:rsidRPr="00435B55">
              <w:rPr>
                <w:b/>
                <w:sz w:val="20"/>
              </w:rPr>
              <w:t>S</w:t>
            </w:r>
            <w:r>
              <w:rPr>
                <w:b/>
                <w:sz w:val="20"/>
              </w:rPr>
              <w:t>tyrker</w:t>
            </w:r>
          </w:p>
          <w:p w14:paraId="5FEB39A8" w14:textId="77777777" w:rsidR="009307D3" w:rsidRPr="00820EAE" w:rsidRDefault="009307D3" w:rsidP="000C68BB">
            <w:pPr>
              <w:jc w:val="center"/>
              <w:rPr>
                <w:i/>
                <w:sz w:val="20"/>
              </w:rPr>
            </w:pPr>
            <w:r w:rsidRPr="00820EAE">
              <w:rPr>
                <w:i/>
                <w:sz w:val="20"/>
              </w:rPr>
              <w:t xml:space="preserve">Hvilke sterke sider </w:t>
            </w:r>
            <w:r>
              <w:rPr>
                <w:i/>
                <w:sz w:val="20"/>
              </w:rPr>
              <w:t xml:space="preserve">har </w:t>
            </w:r>
            <w:r w:rsidRPr="00820EAE">
              <w:rPr>
                <w:i/>
                <w:sz w:val="20"/>
              </w:rPr>
              <w:t>tjenesten</w:t>
            </w:r>
            <w:r>
              <w:rPr>
                <w:i/>
                <w:sz w:val="20"/>
              </w:rPr>
              <w:t>(e)</w:t>
            </w:r>
            <w:r w:rsidRPr="00820EAE">
              <w:rPr>
                <w:i/>
                <w:sz w:val="20"/>
              </w:rPr>
              <w:t xml:space="preserve"> i dag, og hvordan kan en utnytte og ta vare på disse sterke sidene i tiden fremover?</w:t>
            </w:r>
          </w:p>
        </w:tc>
        <w:tc>
          <w:tcPr>
            <w:tcW w:w="7455" w:type="dxa"/>
            <w:tcBorders>
              <w:bottom w:val="single" w:sz="4" w:space="0" w:color="auto"/>
            </w:tcBorders>
            <w:shd w:val="clear" w:color="auto" w:fill="FFF2CC" w:themeFill="accent4" w:themeFillTint="33"/>
          </w:tcPr>
          <w:p w14:paraId="5E0FD8B7" w14:textId="77777777" w:rsidR="009307D3" w:rsidRDefault="009307D3" w:rsidP="000C68BB">
            <w:pPr>
              <w:jc w:val="center"/>
              <w:rPr>
                <w:b/>
                <w:sz w:val="20"/>
              </w:rPr>
            </w:pPr>
            <w:r>
              <w:rPr>
                <w:b/>
                <w:sz w:val="20"/>
              </w:rPr>
              <w:t>Svakheter</w:t>
            </w:r>
          </w:p>
          <w:p w14:paraId="20F9D9E5" w14:textId="77777777" w:rsidR="009307D3" w:rsidRPr="00820EAE" w:rsidRDefault="009307D3" w:rsidP="000C68BB">
            <w:pPr>
              <w:jc w:val="center"/>
              <w:rPr>
                <w:i/>
                <w:sz w:val="20"/>
              </w:rPr>
            </w:pPr>
            <w:r w:rsidRPr="00820EAE">
              <w:rPr>
                <w:i/>
                <w:sz w:val="20"/>
              </w:rPr>
              <w:t xml:space="preserve">Hvilke sider </w:t>
            </w:r>
            <w:r>
              <w:rPr>
                <w:i/>
                <w:sz w:val="20"/>
              </w:rPr>
              <w:t>ved tjenesten(e)</w:t>
            </w:r>
            <w:r w:rsidRPr="00820EAE">
              <w:rPr>
                <w:i/>
                <w:sz w:val="20"/>
              </w:rPr>
              <w:t xml:space="preserve"> har svakheter, og hva kan </w:t>
            </w:r>
            <w:r>
              <w:rPr>
                <w:i/>
                <w:sz w:val="20"/>
              </w:rPr>
              <w:t>gjøres</w:t>
            </w:r>
            <w:r w:rsidRPr="00820EAE">
              <w:rPr>
                <w:i/>
                <w:sz w:val="20"/>
              </w:rPr>
              <w:t xml:space="preserve"> for å rette på</w:t>
            </w:r>
            <w:r>
              <w:rPr>
                <w:i/>
                <w:sz w:val="20"/>
              </w:rPr>
              <w:t>/forbedre</w:t>
            </w:r>
            <w:r w:rsidRPr="00820EAE">
              <w:rPr>
                <w:i/>
                <w:sz w:val="20"/>
              </w:rPr>
              <w:t xml:space="preserve"> disse forholdene?</w:t>
            </w:r>
          </w:p>
        </w:tc>
      </w:tr>
      <w:tr w:rsidR="003527F3" w14:paraId="38CFF97F" w14:textId="77777777" w:rsidTr="000C68BB">
        <w:tc>
          <w:tcPr>
            <w:tcW w:w="562" w:type="dxa"/>
            <w:vMerge/>
          </w:tcPr>
          <w:p w14:paraId="39D3BD05" w14:textId="77777777" w:rsidR="009307D3" w:rsidRPr="00820EAE" w:rsidRDefault="009307D3" w:rsidP="000C68BB">
            <w:pPr>
              <w:rPr>
                <w:b/>
                <w:sz w:val="20"/>
              </w:rPr>
            </w:pPr>
          </w:p>
        </w:tc>
        <w:tc>
          <w:tcPr>
            <w:tcW w:w="7371" w:type="dxa"/>
            <w:tcBorders>
              <w:top w:val="single" w:sz="4" w:space="0" w:color="auto"/>
              <w:bottom w:val="single" w:sz="4" w:space="0" w:color="auto"/>
            </w:tcBorders>
            <w:shd w:val="clear" w:color="auto" w:fill="DEEAF6" w:themeFill="accent1" w:themeFillTint="33"/>
          </w:tcPr>
          <w:p w14:paraId="0B074DD3" w14:textId="10C0B628" w:rsidR="009307D3" w:rsidRDefault="008E537F" w:rsidP="000C68BB">
            <w:pPr>
              <w:rPr>
                <w:sz w:val="20"/>
              </w:rPr>
            </w:pPr>
            <w:r>
              <w:rPr>
                <w:sz w:val="20"/>
              </w:rPr>
              <w:t xml:space="preserve">Våler: Tekniske tjenester i Våler er en tverrfaglig sammensatt tjeneste, som driver kostnadseffektivt, er pålitelige og gode på å overholde tidsfrister og leveranser. </w:t>
            </w:r>
            <w:r w:rsidR="00825B57">
              <w:rPr>
                <w:sz w:val="20"/>
              </w:rPr>
              <w:t xml:space="preserve">Enheten har et godt team innen drift, og det er bygget opp overlappende kompetanse på tvers mellom forvaltning, drift og vedlikehold og byggesak. Vann og avløp og driftsoperatører har bygget opp samarbeid rundt avlastning, som gir hensiktsmessig ressursutnyttelse. Tjenesten har en leder med fokus på ledelse, og ellers har tjenesten flinke fagansvarlige </w:t>
            </w:r>
            <w:r w:rsidR="009307D3">
              <w:rPr>
                <w:sz w:val="20"/>
              </w:rPr>
              <w:t xml:space="preserve">på de øvrige områdene. </w:t>
            </w:r>
            <w:r w:rsidR="00825B57">
              <w:rPr>
                <w:sz w:val="20"/>
              </w:rPr>
              <w:t xml:space="preserve"> Tjenesten oppleves som tilgjengelige ute blant publikum og brukere av tjenestene, og yter god service. På byggesak har en, tro</w:t>
            </w:r>
            <w:r w:rsidR="00B31C73">
              <w:rPr>
                <w:sz w:val="20"/>
              </w:rPr>
              <w:t>s</w:t>
            </w:r>
            <w:r w:rsidR="00825B57">
              <w:rPr>
                <w:sz w:val="20"/>
              </w:rPr>
              <w:t>s knappe ressurser, håndtert store og komplekse byggesaker raskt og effektiv</w:t>
            </w:r>
            <w:r w:rsidR="00B31C73">
              <w:rPr>
                <w:sz w:val="20"/>
              </w:rPr>
              <w:t>t</w:t>
            </w:r>
            <w:r w:rsidR="00825B57">
              <w:rPr>
                <w:sz w:val="20"/>
              </w:rPr>
              <w:t xml:space="preserve">. </w:t>
            </w:r>
          </w:p>
          <w:p w14:paraId="3241456F" w14:textId="77777777" w:rsidR="009307D3" w:rsidRDefault="009307D3" w:rsidP="000C68BB">
            <w:pPr>
              <w:rPr>
                <w:sz w:val="20"/>
              </w:rPr>
            </w:pPr>
          </w:p>
          <w:p w14:paraId="0D118C7E" w14:textId="21F2E31D" w:rsidR="009307D3" w:rsidRDefault="009307D3" w:rsidP="000C68BB">
            <w:pPr>
              <w:rPr>
                <w:sz w:val="20"/>
              </w:rPr>
            </w:pPr>
            <w:r>
              <w:rPr>
                <w:sz w:val="20"/>
              </w:rPr>
              <w:t xml:space="preserve">Grue: </w:t>
            </w:r>
            <w:r w:rsidR="008E537F">
              <w:rPr>
                <w:sz w:val="20"/>
              </w:rPr>
              <w:t>Tekniske tjenester i Grue har h</w:t>
            </w:r>
            <w:r>
              <w:rPr>
                <w:sz w:val="20"/>
              </w:rPr>
              <w:t>øy og bred kompetanse</w:t>
            </w:r>
            <w:r w:rsidR="008E537F">
              <w:rPr>
                <w:sz w:val="20"/>
              </w:rPr>
              <w:t>, god tverrfaglighet i enheten, l</w:t>
            </w:r>
            <w:r>
              <w:rPr>
                <w:sz w:val="20"/>
              </w:rPr>
              <w:t xml:space="preserve">avt sykefravær og høy trivsel. </w:t>
            </w:r>
            <w:r w:rsidR="008E537F">
              <w:rPr>
                <w:sz w:val="20"/>
              </w:rPr>
              <w:t>Tjenesteområdet har g</w:t>
            </w:r>
            <w:r>
              <w:rPr>
                <w:sz w:val="20"/>
              </w:rPr>
              <w:t>od kommunikasjon med brukere</w:t>
            </w:r>
            <w:r w:rsidR="008E537F">
              <w:rPr>
                <w:sz w:val="20"/>
              </w:rPr>
              <w:t xml:space="preserve"> og publikum, kort saksbehandlingstid og god samhandling innad i tjenesten mellom landbrukstjenesten og de tekniske tjenestene.</w:t>
            </w:r>
          </w:p>
          <w:p w14:paraId="75477717" w14:textId="7DFF8C4C" w:rsidR="009307D3" w:rsidRDefault="009307D3" w:rsidP="000C68BB">
            <w:pPr>
              <w:rPr>
                <w:sz w:val="20"/>
              </w:rPr>
            </w:pPr>
          </w:p>
          <w:p w14:paraId="4FB64BBA" w14:textId="77777777" w:rsidR="008E537F" w:rsidRDefault="008E537F" w:rsidP="000C68BB">
            <w:pPr>
              <w:rPr>
                <w:sz w:val="20"/>
              </w:rPr>
            </w:pPr>
          </w:p>
          <w:p w14:paraId="7A7CEE85" w14:textId="16F1AB2E" w:rsidR="009307D3" w:rsidRPr="00435B55" w:rsidRDefault="009307D3" w:rsidP="000C68BB">
            <w:pPr>
              <w:rPr>
                <w:sz w:val="20"/>
              </w:rPr>
            </w:pPr>
            <w:r>
              <w:rPr>
                <w:sz w:val="20"/>
              </w:rPr>
              <w:t>Åsnes: Lojal arbeidsstyrke. Tilstrekkelig og god kompetanse. Har en god infrastruktur innenfor tekniske områder i form av vann og avløp, gang- og sykkelvei, fiber, strømtilgang mv., hurtigladere bil.  Eksisterende interkommunale samarbeid fungerer godt. God kommunikasjon oppover og nedover i organisasjonen (strategisk ledelse og ned på ansattnivå – og motsatt)</w:t>
            </w:r>
          </w:p>
        </w:tc>
        <w:tc>
          <w:tcPr>
            <w:tcW w:w="7455" w:type="dxa"/>
            <w:tcBorders>
              <w:top w:val="single" w:sz="4" w:space="0" w:color="auto"/>
              <w:bottom w:val="single" w:sz="4" w:space="0" w:color="auto"/>
            </w:tcBorders>
            <w:shd w:val="clear" w:color="auto" w:fill="FFF2CC" w:themeFill="accent4" w:themeFillTint="33"/>
          </w:tcPr>
          <w:p w14:paraId="77BFA8E3" w14:textId="51EE815F" w:rsidR="008E537F" w:rsidRDefault="008E537F" w:rsidP="000C68BB">
            <w:pPr>
              <w:rPr>
                <w:sz w:val="20"/>
              </w:rPr>
            </w:pPr>
            <w:r>
              <w:rPr>
                <w:sz w:val="20"/>
              </w:rPr>
              <w:t>Tekniske tjenester i de tre kommunene vektlegger alle tre sårbarhetsdimensjonen.</w:t>
            </w:r>
          </w:p>
          <w:p w14:paraId="4E5C3BA6" w14:textId="45E604F5" w:rsidR="008E537F" w:rsidRDefault="008E537F" w:rsidP="000C68BB">
            <w:pPr>
              <w:rPr>
                <w:sz w:val="20"/>
              </w:rPr>
            </w:pPr>
          </w:p>
          <w:p w14:paraId="245916FA" w14:textId="355D949C" w:rsidR="008E537F" w:rsidRDefault="008E537F" w:rsidP="000C68BB">
            <w:pPr>
              <w:rPr>
                <w:sz w:val="20"/>
              </w:rPr>
            </w:pPr>
            <w:r>
              <w:rPr>
                <w:sz w:val="20"/>
              </w:rPr>
              <w:t>Ellers er det en svakhet/utfordring i Våler at tjenesten har et stort lederspenn, og leder skal lede et bredt spenn av fagområder. En stor avdeling/stort lederspenn kan være både en styrke og en svakhet, men når det gjelder lederdimensjonen er det en utfordring. Den samme lederen skal følge opp mange ansatte. Tjenesten kunne med fordel hatt en mellomleder. Ellers er tjenesten sårbar ved sykdom.</w:t>
            </w:r>
          </w:p>
          <w:p w14:paraId="022595D4" w14:textId="77777777" w:rsidR="009307D3" w:rsidRDefault="009307D3" w:rsidP="000C68BB">
            <w:pPr>
              <w:rPr>
                <w:sz w:val="20"/>
              </w:rPr>
            </w:pPr>
          </w:p>
          <w:p w14:paraId="76F195E4" w14:textId="0296A9F6" w:rsidR="009307D3" w:rsidRDefault="008E537F" w:rsidP="000C68BB">
            <w:pPr>
              <w:rPr>
                <w:sz w:val="20"/>
              </w:rPr>
            </w:pPr>
            <w:r>
              <w:rPr>
                <w:sz w:val="20"/>
              </w:rPr>
              <w:t>I Grue er mangel på ledernærvær/-tilstedeværelse en utfordring. Det er en opplevelse av mangel på kommunikasjon mellom strategisk ledelse og de ansatte i tjenesten</w:t>
            </w:r>
            <w:r w:rsidR="00F925FF">
              <w:rPr>
                <w:sz w:val="20"/>
              </w:rPr>
              <w:t>.</w:t>
            </w:r>
            <w:r>
              <w:rPr>
                <w:sz w:val="20"/>
              </w:rPr>
              <w:t xml:space="preserve"> </w:t>
            </w:r>
            <w:r w:rsidRPr="008E537F">
              <w:rPr>
                <w:b/>
                <w:sz w:val="20"/>
              </w:rPr>
              <w:t>Merknad</w:t>
            </w:r>
            <w:r>
              <w:rPr>
                <w:sz w:val="20"/>
              </w:rPr>
              <w:t xml:space="preserve">: Dette er slik situasjonen oppleves før etablering av avdeling samfunn. </w:t>
            </w:r>
          </w:p>
          <w:p w14:paraId="2D104EA8" w14:textId="77777777" w:rsidR="009307D3" w:rsidRDefault="009307D3" w:rsidP="000C68BB">
            <w:pPr>
              <w:rPr>
                <w:sz w:val="20"/>
              </w:rPr>
            </w:pPr>
          </w:p>
          <w:p w14:paraId="65A65321" w14:textId="2BF39EBE" w:rsidR="009307D3" w:rsidRDefault="009307D3" w:rsidP="00567A8C">
            <w:pPr>
              <w:rPr>
                <w:sz w:val="20"/>
              </w:rPr>
            </w:pPr>
            <w:r>
              <w:rPr>
                <w:sz w:val="20"/>
              </w:rPr>
              <w:t>Åsnes</w:t>
            </w:r>
            <w:r w:rsidR="006A1659">
              <w:rPr>
                <w:sz w:val="20"/>
              </w:rPr>
              <w:t xml:space="preserve"> fremhevet at</w:t>
            </w:r>
            <w:r>
              <w:rPr>
                <w:sz w:val="20"/>
              </w:rPr>
              <w:t xml:space="preserve"> </w:t>
            </w:r>
            <w:r w:rsidR="006A1659">
              <w:rPr>
                <w:sz w:val="20"/>
              </w:rPr>
              <w:t xml:space="preserve">tjenestene har et noe svakt omdømme «ute», </w:t>
            </w:r>
            <w:r w:rsidR="00567A8C">
              <w:rPr>
                <w:sz w:val="20"/>
              </w:rPr>
              <w:t xml:space="preserve">blant annet for å være noe rigide </w:t>
            </w:r>
            <w:r>
              <w:rPr>
                <w:sz w:val="20"/>
              </w:rPr>
              <w:t xml:space="preserve">mv. </w:t>
            </w:r>
            <w:r w:rsidR="00F925FF">
              <w:rPr>
                <w:sz w:val="20"/>
              </w:rPr>
              <w:t>Samtidig er det gjerne de</w:t>
            </w:r>
            <w:r>
              <w:rPr>
                <w:sz w:val="20"/>
              </w:rPr>
              <w:t xml:space="preserve"> </w:t>
            </w:r>
            <w:r w:rsidR="00F925FF">
              <w:rPr>
                <w:sz w:val="20"/>
              </w:rPr>
              <w:t xml:space="preserve">som ikke er fornøyd med et saksutfall, som </w:t>
            </w:r>
            <w:r w:rsidR="00567A8C">
              <w:rPr>
                <w:sz w:val="20"/>
              </w:rPr>
              <w:t>også</w:t>
            </w:r>
            <w:r w:rsidR="00F925FF">
              <w:rPr>
                <w:sz w:val="20"/>
              </w:rPr>
              <w:t xml:space="preserve"> «roper» høyest. Likevel trengs fortsatt å gjøre en jobb med å forbedre tjenestens omdømme. Ellers oppleves det å være et </w:t>
            </w:r>
            <w:r w:rsidR="00B31C73">
              <w:rPr>
                <w:sz w:val="20"/>
              </w:rPr>
              <w:t>forbedringspotensial</w:t>
            </w:r>
            <w:r w:rsidR="00F925FF">
              <w:rPr>
                <w:sz w:val="20"/>
              </w:rPr>
              <w:t xml:space="preserve"> mht. holdninger og nytenkning (</w:t>
            </w:r>
            <w:r>
              <w:rPr>
                <w:sz w:val="20"/>
              </w:rPr>
              <w:t>endringskultur).</w:t>
            </w:r>
            <w:r w:rsidR="00F925FF">
              <w:rPr>
                <w:sz w:val="20"/>
              </w:rPr>
              <w:t xml:space="preserve"> Til slutt oppleves det å være et f</w:t>
            </w:r>
            <w:r>
              <w:rPr>
                <w:sz w:val="20"/>
              </w:rPr>
              <w:t xml:space="preserve">orbedringsbehov </w:t>
            </w:r>
            <w:r w:rsidR="00F925FF">
              <w:rPr>
                <w:sz w:val="20"/>
              </w:rPr>
              <w:t>når det gjelder å dimensjonere/plassere ressursene riktig i kommunen, og da spesielt ressursene i stab versus ressursene i tjenesteproduksjonen</w:t>
            </w:r>
            <w:r w:rsidR="00567A8C">
              <w:rPr>
                <w:sz w:val="20"/>
              </w:rPr>
              <w:t xml:space="preserve"> (eks. </w:t>
            </w:r>
            <w:r w:rsidR="00F925FF">
              <w:rPr>
                <w:sz w:val="20"/>
              </w:rPr>
              <w:t>plasser</w:t>
            </w:r>
            <w:r w:rsidR="00567A8C">
              <w:rPr>
                <w:sz w:val="20"/>
              </w:rPr>
              <w:t xml:space="preserve">ing av </w:t>
            </w:r>
            <w:r>
              <w:rPr>
                <w:sz w:val="20"/>
              </w:rPr>
              <w:t>merkantile oppgave</w:t>
            </w:r>
            <w:r w:rsidR="00567A8C">
              <w:rPr>
                <w:sz w:val="20"/>
              </w:rPr>
              <w:t>r</w:t>
            </w:r>
            <w:r w:rsidR="00F925FF">
              <w:rPr>
                <w:sz w:val="20"/>
              </w:rPr>
              <w:t>/ressurse</w:t>
            </w:r>
            <w:r w:rsidR="00567A8C">
              <w:rPr>
                <w:sz w:val="20"/>
              </w:rPr>
              <w:t>r</w:t>
            </w:r>
            <w:r w:rsidR="00F925FF">
              <w:rPr>
                <w:sz w:val="20"/>
              </w:rPr>
              <w:t xml:space="preserve"> i stab (IT, HR-funksjoner mv)</w:t>
            </w:r>
            <w:r w:rsidR="00567A8C">
              <w:rPr>
                <w:sz w:val="20"/>
              </w:rPr>
              <w:t>)</w:t>
            </w:r>
            <w:r w:rsidR="00F925FF">
              <w:rPr>
                <w:sz w:val="20"/>
              </w:rPr>
              <w:t xml:space="preserve">. </w:t>
            </w:r>
          </w:p>
        </w:tc>
      </w:tr>
      <w:tr w:rsidR="003527F3" w14:paraId="0FC8CCB3" w14:textId="77777777" w:rsidTr="000C68BB">
        <w:tc>
          <w:tcPr>
            <w:tcW w:w="562" w:type="dxa"/>
            <w:vMerge w:val="restart"/>
            <w:textDirection w:val="btLr"/>
          </w:tcPr>
          <w:p w14:paraId="1DA3552E" w14:textId="77777777" w:rsidR="009307D3" w:rsidRPr="00820EAE" w:rsidRDefault="009307D3" w:rsidP="000C68BB">
            <w:pPr>
              <w:ind w:left="113" w:right="113"/>
              <w:jc w:val="center"/>
              <w:rPr>
                <w:b/>
                <w:sz w:val="20"/>
              </w:rPr>
            </w:pPr>
            <w:r w:rsidRPr="00820EAE">
              <w:rPr>
                <w:b/>
                <w:sz w:val="20"/>
              </w:rPr>
              <w:t>Eksterne forhold</w:t>
            </w:r>
          </w:p>
        </w:tc>
        <w:tc>
          <w:tcPr>
            <w:tcW w:w="7371" w:type="dxa"/>
            <w:tcBorders>
              <w:bottom w:val="single" w:sz="4" w:space="0" w:color="auto"/>
            </w:tcBorders>
            <w:shd w:val="clear" w:color="auto" w:fill="E2EFD9" w:themeFill="accent6" w:themeFillTint="33"/>
          </w:tcPr>
          <w:p w14:paraId="1E078999" w14:textId="77777777" w:rsidR="009307D3" w:rsidRDefault="009307D3" w:rsidP="000C68BB">
            <w:pPr>
              <w:jc w:val="center"/>
              <w:rPr>
                <w:b/>
                <w:sz w:val="20"/>
              </w:rPr>
            </w:pPr>
            <w:r>
              <w:rPr>
                <w:b/>
                <w:sz w:val="20"/>
              </w:rPr>
              <w:t>Muligheter</w:t>
            </w:r>
          </w:p>
          <w:p w14:paraId="22367BCA" w14:textId="77777777" w:rsidR="009307D3" w:rsidRPr="008C4BA4" w:rsidRDefault="009307D3" w:rsidP="000C68BB">
            <w:pPr>
              <w:jc w:val="center"/>
              <w:rPr>
                <w:sz w:val="20"/>
              </w:rPr>
            </w:pPr>
            <w:r w:rsidRPr="00820EAE">
              <w:rPr>
                <w:i/>
                <w:sz w:val="20"/>
              </w:rPr>
              <w:t xml:space="preserve">Hvilke forhold </w:t>
            </w:r>
            <w:r>
              <w:rPr>
                <w:i/>
                <w:sz w:val="20"/>
              </w:rPr>
              <w:t xml:space="preserve">ved </w:t>
            </w:r>
            <w:r w:rsidRPr="00820EAE">
              <w:rPr>
                <w:i/>
                <w:sz w:val="20"/>
              </w:rPr>
              <w:t>tjenesten</w:t>
            </w:r>
            <w:r>
              <w:rPr>
                <w:i/>
                <w:sz w:val="20"/>
              </w:rPr>
              <w:t>(</w:t>
            </w:r>
            <w:r w:rsidRPr="00820EAE">
              <w:rPr>
                <w:i/>
                <w:sz w:val="20"/>
              </w:rPr>
              <w:t>e</w:t>
            </w:r>
            <w:r>
              <w:rPr>
                <w:i/>
                <w:sz w:val="20"/>
              </w:rPr>
              <w:t>)</w:t>
            </w:r>
            <w:r w:rsidRPr="00820EAE">
              <w:rPr>
                <w:i/>
                <w:sz w:val="20"/>
              </w:rPr>
              <w:t xml:space="preserve"> innebærer nye muligheter i fremtiden? Hva bør gjøre</w:t>
            </w:r>
            <w:r>
              <w:rPr>
                <w:i/>
                <w:sz w:val="20"/>
              </w:rPr>
              <w:t>s</w:t>
            </w:r>
            <w:r w:rsidRPr="00820EAE">
              <w:rPr>
                <w:i/>
                <w:sz w:val="20"/>
              </w:rPr>
              <w:t xml:space="preserve"> for å utnytte disse mulighetene?</w:t>
            </w:r>
          </w:p>
        </w:tc>
        <w:tc>
          <w:tcPr>
            <w:tcW w:w="7455" w:type="dxa"/>
            <w:tcBorders>
              <w:bottom w:val="single" w:sz="4" w:space="0" w:color="auto"/>
            </w:tcBorders>
            <w:shd w:val="clear" w:color="auto" w:fill="FBE4D5" w:themeFill="accent2" w:themeFillTint="33"/>
          </w:tcPr>
          <w:p w14:paraId="1F37B99E" w14:textId="77777777" w:rsidR="009307D3" w:rsidRDefault="009307D3" w:rsidP="000C68BB">
            <w:pPr>
              <w:jc w:val="center"/>
              <w:rPr>
                <w:b/>
                <w:sz w:val="20"/>
              </w:rPr>
            </w:pPr>
            <w:r>
              <w:rPr>
                <w:b/>
                <w:sz w:val="20"/>
              </w:rPr>
              <w:t>Trusler</w:t>
            </w:r>
          </w:p>
          <w:p w14:paraId="37D8B5F2" w14:textId="77777777" w:rsidR="009307D3" w:rsidRPr="00820EAE" w:rsidRDefault="009307D3" w:rsidP="000C68BB">
            <w:pPr>
              <w:jc w:val="center"/>
              <w:rPr>
                <w:i/>
                <w:sz w:val="20"/>
              </w:rPr>
            </w:pPr>
            <w:r w:rsidRPr="00820EAE">
              <w:rPr>
                <w:i/>
                <w:sz w:val="20"/>
              </w:rPr>
              <w:t xml:space="preserve">Hvilke fremtidige forhold innebærer trusler for </w:t>
            </w:r>
            <w:r>
              <w:rPr>
                <w:i/>
                <w:sz w:val="20"/>
              </w:rPr>
              <w:t>tjenesten(e)</w:t>
            </w:r>
            <w:r w:rsidRPr="00820EAE">
              <w:rPr>
                <w:i/>
                <w:sz w:val="20"/>
              </w:rPr>
              <w:t>, og hva bør gjøre</w:t>
            </w:r>
            <w:r>
              <w:rPr>
                <w:i/>
                <w:sz w:val="20"/>
              </w:rPr>
              <w:t>s</w:t>
            </w:r>
            <w:r w:rsidRPr="00820EAE">
              <w:rPr>
                <w:i/>
                <w:sz w:val="20"/>
              </w:rPr>
              <w:t xml:space="preserve"> for å stå bedre rustet til å møte disse truslene?</w:t>
            </w:r>
          </w:p>
        </w:tc>
      </w:tr>
      <w:tr w:rsidR="003527F3" w14:paraId="1C72FECC" w14:textId="77777777" w:rsidTr="000C68BB">
        <w:tc>
          <w:tcPr>
            <w:tcW w:w="562" w:type="dxa"/>
            <w:vMerge/>
          </w:tcPr>
          <w:p w14:paraId="2561A2F4" w14:textId="77777777" w:rsidR="009307D3" w:rsidRDefault="009307D3" w:rsidP="000C68BB">
            <w:pPr>
              <w:rPr>
                <w:sz w:val="20"/>
              </w:rPr>
            </w:pPr>
          </w:p>
        </w:tc>
        <w:tc>
          <w:tcPr>
            <w:tcW w:w="7371" w:type="dxa"/>
            <w:tcBorders>
              <w:top w:val="single" w:sz="4" w:space="0" w:color="auto"/>
            </w:tcBorders>
            <w:shd w:val="clear" w:color="auto" w:fill="E2EFD9" w:themeFill="accent6" w:themeFillTint="33"/>
          </w:tcPr>
          <w:p w14:paraId="68271156" w14:textId="77AB5AA8" w:rsidR="009307D3" w:rsidRDefault="003527F3" w:rsidP="000C68BB">
            <w:pPr>
              <w:rPr>
                <w:sz w:val="20"/>
              </w:rPr>
            </w:pPr>
            <w:r>
              <w:rPr>
                <w:sz w:val="20"/>
              </w:rPr>
              <w:t xml:space="preserve">Våler peker på økt kompetanse, økte ressurser, og et større fagmiljø som en mulighet til å ivareta tjenesteutøvelsen på en god måte i fremtiden, eksempelvis gjennom et interkommunalt samarbeid. </w:t>
            </w:r>
            <w:r>
              <w:rPr>
                <w:sz w:val="20"/>
              </w:rPr>
              <w:lastRenderedPageBreak/>
              <w:t>Dette vil potensielt også kunne lette rekrutteringen av medarbeidere med den riktige kompetansen i fremtiden. Videre pekes det på mulighetene som ligger i øk</w:t>
            </w:r>
            <w:r w:rsidR="009307D3">
              <w:rPr>
                <w:sz w:val="20"/>
              </w:rPr>
              <w:t>t digitalisering</w:t>
            </w:r>
            <w:r>
              <w:rPr>
                <w:sz w:val="20"/>
              </w:rPr>
              <w:t>.</w:t>
            </w:r>
          </w:p>
          <w:p w14:paraId="1329B3DF" w14:textId="77777777" w:rsidR="009307D3" w:rsidRDefault="009307D3" w:rsidP="000C68BB">
            <w:pPr>
              <w:rPr>
                <w:sz w:val="20"/>
              </w:rPr>
            </w:pPr>
          </w:p>
          <w:p w14:paraId="41E637C5" w14:textId="6F21AFE4" w:rsidR="009307D3" w:rsidRDefault="003527F3" w:rsidP="000C68BB">
            <w:pPr>
              <w:rPr>
                <w:sz w:val="20"/>
              </w:rPr>
            </w:pPr>
            <w:r>
              <w:rPr>
                <w:sz w:val="20"/>
              </w:rPr>
              <w:t xml:space="preserve">For Grues del, vil organiseringen i en avdeling samfunn kunne gi mindre sårbarhet og mulighet til å bygge et større miljø, videreutvikle kompetansen – både breddekompetanse og spisskompetanse. </w:t>
            </w:r>
          </w:p>
          <w:p w14:paraId="37F65E87" w14:textId="77777777" w:rsidR="009307D3" w:rsidRDefault="009307D3" w:rsidP="000C68BB">
            <w:pPr>
              <w:rPr>
                <w:sz w:val="20"/>
              </w:rPr>
            </w:pPr>
          </w:p>
          <w:p w14:paraId="70E47E50" w14:textId="607E5EB9" w:rsidR="009307D3" w:rsidRDefault="00F925FF" w:rsidP="000C68BB">
            <w:pPr>
              <w:rPr>
                <w:sz w:val="20"/>
              </w:rPr>
            </w:pPr>
            <w:r>
              <w:rPr>
                <w:sz w:val="20"/>
              </w:rPr>
              <w:t xml:space="preserve">Åsnes peker på særlig fire forhold: 1) </w:t>
            </w:r>
            <w:r w:rsidR="009307D3">
              <w:rPr>
                <w:sz w:val="20"/>
              </w:rPr>
              <w:t>Ny teknologi/</w:t>
            </w:r>
            <w:r>
              <w:rPr>
                <w:sz w:val="20"/>
              </w:rPr>
              <w:t>økt</w:t>
            </w:r>
            <w:r w:rsidR="009307D3">
              <w:rPr>
                <w:sz w:val="20"/>
              </w:rPr>
              <w:t xml:space="preserve"> digitalisering</w:t>
            </w:r>
            <w:r>
              <w:rPr>
                <w:sz w:val="20"/>
              </w:rPr>
              <w:t xml:space="preserve">, 2) interkommunalt samarbeid, 3) kommune 3.0 og </w:t>
            </w:r>
            <w:proofErr w:type="spellStart"/>
            <w:r>
              <w:rPr>
                <w:sz w:val="20"/>
              </w:rPr>
              <w:t>samskaping</w:t>
            </w:r>
            <w:proofErr w:type="spellEnd"/>
            <w:r>
              <w:rPr>
                <w:sz w:val="20"/>
              </w:rPr>
              <w:t>, herunder økt samarbeid med frivilligheten i tjenesteproduksjon og samfunnsutvikling og 4) et sterkt kommunesenter som en vekstdriver.</w:t>
            </w:r>
          </w:p>
        </w:tc>
        <w:tc>
          <w:tcPr>
            <w:tcW w:w="7455" w:type="dxa"/>
            <w:tcBorders>
              <w:top w:val="single" w:sz="4" w:space="0" w:color="auto"/>
            </w:tcBorders>
            <w:shd w:val="clear" w:color="auto" w:fill="FBE4D5" w:themeFill="accent2" w:themeFillTint="33"/>
          </w:tcPr>
          <w:p w14:paraId="26C4D820" w14:textId="1FBBA1BB" w:rsidR="00F925FF" w:rsidRDefault="00F925FF" w:rsidP="000C68BB">
            <w:pPr>
              <w:rPr>
                <w:sz w:val="20"/>
              </w:rPr>
            </w:pPr>
            <w:r>
              <w:rPr>
                <w:sz w:val="20"/>
              </w:rPr>
              <w:lastRenderedPageBreak/>
              <w:t>Medlemmer i arbeidsgruppen fra alle kommunene er enige i at demografi og befolkningsutvikling representerer en utfordring for regionen generelt, men for leveransen av kommunale tjenester spesielt.</w:t>
            </w:r>
          </w:p>
          <w:p w14:paraId="7AC07343" w14:textId="61CE6520" w:rsidR="00F925FF" w:rsidRDefault="00F925FF" w:rsidP="000C68BB">
            <w:pPr>
              <w:rPr>
                <w:sz w:val="20"/>
              </w:rPr>
            </w:pPr>
          </w:p>
          <w:p w14:paraId="1ABA0A52" w14:textId="1397BB76" w:rsidR="00F925FF" w:rsidRDefault="00F925FF" w:rsidP="00F925FF">
            <w:pPr>
              <w:rPr>
                <w:sz w:val="20"/>
              </w:rPr>
            </w:pPr>
            <w:r>
              <w:rPr>
                <w:sz w:val="20"/>
              </w:rPr>
              <w:t>En felles oppfatning blant arbeidsgruppens medlemmer er at det allerede er en utfordring å rekruttere medarbeidere med tilstrekkelig kompetanse til regionen. Dette henger delvis også sammen med økonomiske rammevilkår, og utfordringer med å kunne konkurrere på lønn. Det gjelder både på ledernivå og saksbehandlernivå. Denne utfordringen vil kunne bli større i fremtiden.</w:t>
            </w:r>
          </w:p>
          <w:p w14:paraId="460A7868" w14:textId="77777777" w:rsidR="00F925FF" w:rsidRDefault="00F925FF" w:rsidP="000C68BB">
            <w:pPr>
              <w:rPr>
                <w:sz w:val="20"/>
              </w:rPr>
            </w:pPr>
          </w:p>
          <w:p w14:paraId="1BCD9E07" w14:textId="69C80318" w:rsidR="001D4856" w:rsidRDefault="00F925FF" w:rsidP="000C68BB">
            <w:pPr>
              <w:rPr>
                <w:sz w:val="20"/>
              </w:rPr>
            </w:pPr>
            <w:r>
              <w:rPr>
                <w:sz w:val="20"/>
              </w:rPr>
              <w:t>Utfordringer knyttet til sårbarhet på flere saksfelt ses som en utfordring også i fremtiden, i alle tre kommuner. E</w:t>
            </w:r>
            <w:r w:rsidR="001D4856">
              <w:rPr>
                <w:sz w:val="20"/>
              </w:rPr>
              <w:t xml:space="preserve">ksempler som blir nevnt er byggesak og miljø og forurensing. </w:t>
            </w:r>
          </w:p>
          <w:p w14:paraId="7A7A0F3F" w14:textId="77777777" w:rsidR="009307D3" w:rsidRDefault="009307D3" w:rsidP="000C68BB">
            <w:pPr>
              <w:rPr>
                <w:sz w:val="20"/>
              </w:rPr>
            </w:pPr>
          </w:p>
          <w:p w14:paraId="2A262BA8" w14:textId="53CB96E0" w:rsidR="009307D3" w:rsidRDefault="00F925FF" w:rsidP="00F925FF">
            <w:pPr>
              <w:rPr>
                <w:sz w:val="20"/>
              </w:rPr>
            </w:pPr>
            <w:r>
              <w:rPr>
                <w:sz w:val="20"/>
              </w:rPr>
              <w:t>Enkelte medlemmer i arbeidsgruppen ser det som en trussel at eventuelle interkommunale samarbeid kan medføre tap av arbeidsplasser i hjemkommunen på sikt. Andre ser interkommunalt samarbeid i Solør som en mulighet til å beholde arbeidsplasser i regionen.</w:t>
            </w:r>
          </w:p>
          <w:p w14:paraId="76059CDD" w14:textId="392B953F" w:rsidR="009307D3" w:rsidRDefault="009307D3" w:rsidP="000C68BB">
            <w:pPr>
              <w:rPr>
                <w:sz w:val="20"/>
              </w:rPr>
            </w:pPr>
          </w:p>
          <w:p w14:paraId="24B059D5" w14:textId="766287BF" w:rsidR="009307D3" w:rsidRDefault="00F925FF" w:rsidP="003527F3">
            <w:pPr>
              <w:rPr>
                <w:sz w:val="20"/>
              </w:rPr>
            </w:pPr>
            <w:r>
              <w:rPr>
                <w:sz w:val="20"/>
              </w:rPr>
              <w:t xml:space="preserve">For Åsnes del anses jordvern som en utfordring </w:t>
            </w:r>
            <w:proofErr w:type="spellStart"/>
            <w:r>
              <w:rPr>
                <w:sz w:val="20"/>
              </w:rPr>
              <w:t>ifm</w:t>
            </w:r>
            <w:proofErr w:type="spellEnd"/>
            <w:r>
              <w:rPr>
                <w:sz w:val="20"/>
              </w:rPr>
              <w:t>. area</w:t>
            </w:r>
            <w:r w:rsidR="00B31C73">
              <w:rPr>
                <w:sz w:val="20"/>
              </w:rPr>
              <w:t>l</w:t>
            </w:r>
            <w:r>
              <w:rPr>
                <w:sz w:val="20"/>
              </w:rPr>
              <w:t xml:space="preserve">planlegging og utbyggingsområder som en utfordring for samfunnsutviklingen i kommunen. </w:t>
            </w:r>
          </w:p>
        </w:tc>
      </w:tr>
    </w:tbl>
    <w:p w14:paraId="4200D781" w14:textId="77777777" w:rsidR="00435B55" w:rsidRDefault="00435B55" w:rsidP="00435B55">
      <w:pPr>
        <w:spacing w:after="0" w:line="240" w:lineRule="auto"/>
        <w:rPr>
          <w:sz w:val="20"/>
        </w:rPr>
      </w:pPr>
    </w:p>
    <w:p w14:paraId="35583818" w14:textId="77777777" w:rsidR="004478A0" w:rsidRPr="00435B55" w:rsidRDefault="004478A0" w:rsidP="00435B55">
      <w:pPr>
        <w:spacing w:after="0" w:line="240" w:lineRule="auto"/>
        <w:rPr>
          <w:sz w:val="20"/>
        </w:rPr>
      </w:pPr>
    </w:p>
    <w:p w14:paraId="78461A95" w14:textId="77777777" w:rsidR="00974139" w:rsidRDefault="00974139" w:rsidP="00435B55">
      <w:pPr>
        <w:spacing w:after="0" w:line="240" w:lineRule="auto"/>
        <w:rPr>
          <w:sz w:val="20"/>
        </w:rPr>
      </w:pPr>
    </w:p>
    <w:p w14:paraId="564ED8DF" w14:textId="099CDB3E" w:rsidR="008B315A" w:rsidRDefault="002F0FE4" w:rsidP="00435B55">
      <w:pPr>
        <w:spacing w:after="0" w:line="240" w:lineRule="auto"/>
        <w:rPr>
          <w:b/>
          <w:sz w:val="20"/>
        </w:rPr>
      </w:pPr>
      <w:r>
        <w:rPr>
          <w:b/>
          <w:sz w:val="20"/>
        </w:rPr>
        <w:t xml:space="preserve">3 </w:t>
      </w:r>
      <w:r w:rsidR="008B315A">
        <w:rPr>
          <w:b/>
          <w:sz w:val="20"/>
        </w:rPr>
        <w:t>Potensielle fordeler og utfordringer knyttet til et interkommunalt samarbeid</w:t>
      </w:r>
    </w:p>
    <w:p w14:paraId="61938D5F" w14:textId="74A36A06" w:rsidR="006A1659" w:rsidRDefault="006A1659" w:rsidP="00435B55">
      <w:pPr>
        <w:spacing w:after="0" w:line="240" w:lineRule="auto"/>
        <w:rPr>
          <w:b/>
          <w:sz w:val="20"/>
        </w:rPr>
      </w:pPr>
    </w:p>
    <w:p w14:paraId="3C275354" w14:textId="2BEC535E" w:rsidR="006A1659" w:rsidRPr="006A1659" w:rsidRDefault="006A1659" w:rsidP="00435B55">
      <w:pPr>
        <w:spacing w:after="0" w:line="240" w:lineRule="auto"/>
        <w:rPr>
          <w:i/>
          <w:sz w:val="20"/>
        </w:rPr>
      </w:pPr>
      <w:r>
        <w:rPr>
          <w:i/>
          <w:sz w:val="20"/>
        </w:rPr>
        <w:t xml:space="preserve">Arbeidet med å vurdere potensielle fordeler og utfordringer knyttet til et interkommunalt samarbeid fortsetter i </w:t>
      </w:r>
      <w:proofErr w:type="spellStart"/>
      <w:r>
        <w:rPr>
          <w:i/>
          <w:sz w:val="20"/>
        </w:rPr>
        <w:t>teamsmøte</w:t>
      </w:r>
      <w:proofErr w:type="spellEnd"/>
      <w:r>
        <w:rPr>
          <w:i/>
          <w:sz w:val="20"/>
        </w:rPr>
        <w:t xml:space="preserve"> 6. oktober.</w:t>
      </w:r>
    </w:p>
    <w:p w14:paraId="6E0D0393" w14:textId="77777777" w:rsidR="009C0608" w:rsidRPr="009C0608" w:rsidRDefault="009C0608" w:rsidP="00435B55">
      <w:pPr>
        <w:spacing w:after="0" w:line="240" w:lineRule="auto"/>
        <w:rPr>
          <w:sz w:val="20"/>
        </w:rPr>
      </w:pPr>
    </w:p>
    <w:tbl>
      <w:tblPr>
        <w:tblStyle w:val="Tabellrutenett"/>
        <w:tblW w:w="0" w:type="auto"/>
        <w:tblLook w:val="04A0" w:firstRow="1" w:lastRow="0" w:firstColumn="1" w:lastColumn="0" w:noHBand="0" w:noVBand="1"/>
      </w:tblPr>
      <w:tblGrid>
        <w:gridCol w:w="5280"/>
        <w:gridCol w:w="5402"/>
      </w:tblGrid>
      <w:tr w:rsidR="008B315A" w14:paraId="3EBC113A" w14:textId="77777777" w:rsidTr="008B315A">
        <w:tc>
          <w:tcPr>
            <w:tcW w:w="7694" w:type="dxa"/>
          </w:tcPr>
          <w:p w14:paraId="39CD6B9D" w14:textId="3E07A896" w:rsidR="008B315A" w:rsidRPr="00E6067C" w:rsidRDefault="008B315A" w:rsidP="008B315A">
            <w:pPr>
              <w:jc w:val="center"/>
              <w:rPr>
                <w:b/>
                <w:sz w:val="20"/>
              </w:rPr>
            </w:pPr>
            <w:r w:rsidRPr="00E6067C">
              <w:rPr>
                <w:b/>
                <w:sz w:val="20"/>
              </w:rPr>
              <w:t>Fordeler</w:t>
            </w:r>
          </w:p>
        </w:tc>
        <w:tc>
          <w:tcPr>
            <w:tcW w:w="7694" w:type="dxa"/>
          </w:tcPr>
          <w:p w14:paraId="18A64BF1" w14:textId="71D6457E" w:rsidR="008B315A" w:rsidRPr="00E6067C" w:rsidRDefault="008B315A" w:rsidP="008B315A">
            <w:pPr>
              <w:jc w:val="center"/>
              <w:rPr>
                <w:b/>
                <w:sz w:val="20"/>
              </w:rPr>
            </w:pPr>
            <w:r w:rsidRPr="00E6067C">
              <w:rPr>
                <w:b/>
                <w:sz w:val="20"/>
              </w:rPr>
              <w:t>Utfordringer</w:t>
            </w:r>
          </w:p>
        </w:tc>
      </w:tr>
      <w:tr w:rsidR="008B315A" w14:paraId="3AE906FB" w14:textId="77777777" w:rsidTr="008B315A">
        <w:tc>
          <w:tcPr>
            <w:tcW w:w="7694" w:type="dxa"/>
          </w:tcPr>
          <w:p w14:paraId="4FEDAC25" w14:textId="77777777" w:rsidR="008B315A" w:rsidRDefault="008B315A" w:rsidP="00435B55">
            <w:pPr>
              <w:rPr>
                <w:sz w:val="20"/>
              </w:rPr>
            </w:pPr>
          </w:p>
        </w:tc>
        <w:tc>
          <w:tcPr>
            <w:tcW w:w="7694" w:type="dxa"/>
          </w:tcPr>
          <w:p w14:paraId="6BF1EB9E" w14:textId="02A5975A" w:rsidR="008B315A" w:rsidRDefault="008B315A" w:rsidP="003527F3">
            <w:pPr>
              <w:rPr>
                <w:sz w:val="20"/>
              </w:rPr>
            </w:pPr>
          </w:p>
        </w:tc>
      </w:tr>
      <w:tr w:rsidR="008B315A" w14:paraId="32254B67" w14:textId="77777777" w:rsidTr="008B315A">
        <w:tc>
          <w:tcPr>
            <w:tcW w:w="7694" w:type="dxa"/>
          </w:tcPr>
          <w:p w14:paraId="18BDAB52" w14:textId="55F5D47C" w:rsidR="008B315A" w:rsidRDefault="008B315A" w:rsidP="0075603E">
            <w:pPr>
              <w:rPr>
                <w:sz w:val="20"/>
              </w:rPr>
            </w:pPr>
          </w:p>
        </w:tc>
        <w:tc>
          <w:tcPr>
            <w:tcW w:w="7694" w:type="dxa"/>
          </w:tcPr>
          <w:p w14:paraId="3F621DFD" w14:textId="25AC16DD" w:rsidR="008B315A" w:rsidRDefault="008B315A" w:rsidP="002F0FE4">
            <w:pPr>
              <w:rPr>
                <w:sz w:val="20"/>
              </w:rPr>
            </w:pPr>
          </w:p>
        </w:tc>
      </w:tr>
      <w:tr w:rsidR="008B315A" w14:paraId="19DB902C" w14:textId="77777777" w:rsidTr="008B315A">
        <w:tc>
          <w:tcPr>
            <w:tcW w:w="7694" w:type="dxa"/>
          </w:tcPr>
          <w:p w14:paraId="135A12CF" w14:textId="467B2B63" w:rsidR="008B315A" w:rsidRDefault="008B315A" w:rsidP="00435B55">
            <w:pPr>
              <w:rPr>
                <w:sz w:val="20"/>
              </w:rPr>
            </w:pPr>
          </w:p>
        </w:tc>
        <w:tc>
          <w:tcPr>
            <w:tcW w:w="7694" w:type="dxa"/>
          </w:tcPr>
          <w:p w14:paraId="01905A0F" w14:textId="52E56C5E" w:rsidR="008B315A" w:rsidRDefault="008B315A" w:rsidP="00435B55">
            <w:pPr>
              <w:rPr>
                <w:sz w:val="20"/>
              </w:rPr>
            </w:pPr>
          </w:p>
        </w:tc>
      </w:tr>
      <w:tr w:rsidR="008B315A" w14:paraId="6BCE1035" w14:textId="77777777" w:rsidTr="008B315A">
        <w:tc>
          <w:tcPr>
            <w:tcW w:w="7694" w:type="dxa"/>
          </w:tcPr>
          <w:p w14:paraId="1736AD99" w14:textId="6C939064" w:rsidR="008B315A" w:rsidRDefault="008B315A" w:rsidP="00435B55">
            <w:pPr>
              <w:rPr>
                <w:sz w:val="20"/>
              </w:rPr>
            </w:pPr>
          </w:p>
        </w:tc>
        <w:tc>
          <w:tcPr>
            <w:tcW w:w="7694" w:type="dxa"/>
          </w:tcPr>
          <w:p w14:paraId="27AE7BBF" w14:textId="7E3C5B9D" w:rsidR="008B315A" w:rsidRDefault="008B315A" w:rsidP="00435B55">
            <w:pPr>
              <w:rPr>
                <w:sz w:val="20"/>
              </w:rPr>
            </w:pPr>
          </w:p>
        </w:tc>
      </w:tr>
      <w:tr w:rsidR="008B315A" w14:paraId="7F665BAE" w14:textId="77777777" w:rsidTr="008B315A">
        <w:tc>
          <w:tcPr>
            <w:tcW w:w="7694" w:type="dxa"/>
          </w:tcPr>
          <w:p w14:paraId="5B50C431" w14:textId="3AB2283E" w:rsidR="008B315A" w:rsidRDefault="008B315A" w:rsidP="004F77E9">
            <w:pPr>
              <w:rPr>
                <w:sz w:val="20"/>
              </w:rPr>
            </w:pPr>
          </w:p>
        </w:tc>
        <w:tc>
          <w:tcPr>
            <w:tcW w:w="7694" w:type="dxa"/>
          </w:tcPr>
          <w:p w14:paraId="4483627E" w14:textId="74173DFE" w:rsidR="008B315A" w:rsidRDefault="008B315A" w:rsidP="0075603E">
            <w:pPr>
              <w:rPr>
                <w:sz w:val="20"/>
              </w:rPr>
            </w:pPr>
          </w:p>
        </w:tc>
      </w:tr>
      <w:tr w:rsidR="008B315A" w14:paraId="3D9ECFF6" w14:textId="77777777" w:rsidTr="008B315A">
        <w:tc>
          <w:tcPr>
            <w:tcW w:w="7694" w:type="dxa"/>
          </w:tcPr>
          <w:p w14:paraId="14D80F3C" w14:textId="5FBEACCF" w:rsidR="008B315A" w:rsidRDefault="008B315A" w:rsidP="0075603E">
            <w:pPr>
              <w:rPr>
                <w:sz w:val="20"/>
              </w:rPr>
            </w:pPr>
          </w:p>
        </w:tc>
        <w:tc>
          <w:tcPr>
            <w:tcW w:w="7694" w:type="dxa"/>
          </w:tcPr>
          <w:p w14:paraId="3FCD2F5D" w14:textId="42167CC8" w:rsidR="008B315A" w:rsidRDefault="008B315A" w:rsidP="00435B55">
            <w:pPr>
              <w:rPr>
                <w:sz w:val="20"/>
              </w:rPr>
            </w:pPr>
          </w:p>
        </w:tc>
      </w:tr>
      <w:tr w:rsidR="008B315A" w14:paraId="4C0F1BAB" w14:textId="77777777" w:rsidTr="008B315A">
        <w:tc>
          <w:tcPr>
            <w:tcW w:w="7694" w:type="dxa"/>
          </w:tcPr>
          <w:p w14:paraId="467BAAB1" w14:textId="30F87CAF" w:rsidR="008B315A" w:rsidRDefault="008B315A" w:rsidP="0075603E">
            <w:pPr>
              <w:rPr>
                <w:sz w:val="20"/>
              </w:rPr>
            </w:pPr>
          </w:p>
        </w:tc>
        <w:tc>
          <w:tcPr>
            <w:tcW w:w="7694" w:type="dxa"/>
          </w:tcPr>
          <w:p w14:paraId="11502E5B" w14:textId="77777777" w:rsidR="008B315A" w:rsidRDefault="008B315A" w:rsidP="00435B55">
            <w:pPr>
              <w:rPr>
                <w:sz w:val="20"/>
              </w:rPr>
            </w:pPr>
          </w:p>
        </w:tc>
      </w:tr>
    </w:tbl>
    <w:p w14:paraId="4522DB4D" w14:textId="11EEDC5D" w:rsidR="008B315A" w:rsidRDefault="008B315A" w:rsidP="00974139">
      <w:pPr>
        <w:spacing w:after="0" w:line="240" w:lineRule="auto"/>
        <w:rPr>
          <w:sz w:val="20"/>
        </w:rPr>
      </w:pPr>
    </w:p>
    <w:p w14:paraId="13889303" w14:textId="797C888B" w:rsidR="00374439" w:rsidRDefault="00374439" w:rsidP="00974139">
      <w:pPr>
        <w:spacing w:after="0" w:line="240" w:lineRule="auto"/>
        <w:rPr>
          <w:sz w:val="20"/>
        </w:rPr>
      </w:pPr>
    </w:p>
    <w:p w14:paraId="398F2E03" w14:textId="44E50A1F" w:rsidR="00374439" w:rsidRDefault="00374439" w:rsidP="00974139">
      <w:pPr>
        <w:spacing w:after="0" w:line="240" w:lineRule="auto"/>
        <w:rPr>
          <w:sz w:val="20"/>
        </w:rPr>
      </w:pPr>
    </w:p>
    <w:p w14:paraId="0BBD09D3" w14:textId="77777777" w:rsidR="007C6BFE" w:rsidRDefault="007C6BFE" w:rsidP="007C6BFE">
      <w:pPr>
        <w:spacing w:after="0" w:line="240" w:lineRule="auto"/>
        <w:rPr>
          <w:sz w:val="20"/>
        </w:rPr>
      </w:pPr>
    </w:p>
    <w:p w14:paraId="032730FB" w14:textId="77777777" w:rsidR="007C6BFE" w:rsidRDefault="007C6BFE" w:rsidP="00974139">
      <w:pPr>
        <w:spacing w:after="0" w:line="240" w:lineRule="auto"/>
        <w:rPr>
          <w:sz w:val="20"/>
        </w:rPr>
      </w:pPr>
    </w:p>
    <w:sectPr w:rsidR="007C6BFE" w:rsidSect="007840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5E07"/>
    <w:multiLevelType w:val="hybridMultilevel"/>
    <w:tmpl w:val="1EC01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56209AB"/>
    <w:multiLevelType w:val="hybridMultilevel"/>
    <w:tmpl w:val="5D6EB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672955"/>
    <w:multiLevelType w:val="hybridMultilevel"/>
    <w:tmpl w:val="DE227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CB572EA"/>
    <w:multiLevelType w:val="hybridMultilevel"/>
    <w:tmpl w:val="91F632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57E0A95"/>
    <w:multiLevelType w:val="hybridMultilevel"/>
    <w:tmpl w:val="35BCC2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0556DA1"/>
    <w:multiLevelType w:val="hybridMultilevel"/>
    <w:tmpl w:val="298A2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2B33DC2"/>
    <w:multiLevelType w:val="hybridMultilevel"/>
    <w:tmpl w:val="1578F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2BC24AA"/>
    <w:multiLevelType w:val="multilevel"/>
    <w:tmpl w:val="B1C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55"/>
    <w:rsid w:val="000330A1"/>
    <w:rsid w:val="000575F8"/>
    <w:rsid w:val="00142B50"/>
    <w:rsid w:val="001D4856"/>
    <w:rsid w:val="001D7409"/>
    <w:rsid w:val="00233E6F"/>
    <w:rsid w:val="00260EEE"/>
    <w:rsid w:val="00265C6A"/>
    <w:rsid w:val="002E05CF"/>
    <w:rsid w:val="002F0FE4"/>
    <w:rsid w:val="00351D12"/>
    <w:rsid w:val="003527F3"/>
    <w:rsid w:val="00374439"/>
    <w:rsid w:val="00413349"/>
    <w:rsid w:val="00435B55"/>
    <w:rsid w:val="004478A0"/>
    <w:rsid w:val="004F2E85"/>
    <w:rsid w:val="004F77E9"/>
    <w:rsid w:val="00567A8C"/>
    <w:rsid w:val="00577645"/>
    <w:rsid w:val="00580118"/>
    <w:rsid w:val="005A001E"/>
    <w:rsid w:val="005B5A97"/>
    <w:rsid w:val="005C48AD"/>
    <w:rsid w:val="005D5F42"/>
    <w:rsid w:val="00661733"/>
    <w:rsid w:val="006A1659"/>
    <w:rsid w:val="006F3C0D"/>
    <w:rsid w:val="00715DAE"/>
    <w:rsid w:val="0072510F"/>
    <w:rsid w:val="0075603E"/>
    <w:rsid w:val="007840C4"/>
    <w:rsid w:val="007A7A70"/>
    <w:rsid w:val="007C502D"/>
    <w:rsid w:val="007C6BFE"/>
    <w:rsid w:val="00820EAE"/>
    <w:rsid w:val="00825B57"/>
    <w:rsid w:val="00862DBD"/>
    <w:rsid w:val="008A2B76"/>
    <w:rsid w:val="008A6D76"/>
    <w:rsid w:val="008B315A"/>
    <w:rsid w:val="008C4BA4"/>
    <w:rsid w:val="008E537F"/>
    <w:rsid w:val="008E7F52"/>
    <w:rsid w:val="00902105"/>
    <w:rsid w:val="00922052"/>
    <w:rsid w:val="009307D3"/>
    <w:rsid w:val="009503ED"/>
    <w:rsid w:val="00973649"/>
    <w:rsid w:val="00974139"/>
    <w:rsid w:val="009765E0"/>
    <w:rsid w:val="00986AFF"/>
    <w:rsid w:val="009A4558"/>
    <w:rsid w:val="009C0608"/>
    <w:rsid w:val="00A00B49"/>
    <w:rsid w:val="00AF0013"/>
    <w:rsid w:val="00AF137E"/>
    <w:rsid w:val="00AF33B2"/>
    <w:rsid w:val="00B31C73"/>
    <w:rsid w:val="00B36D04"/>
    <w:rsid w:val="00BB41E4"/>
    <w:rsid w:val="00BB5FC5"/>
    <w:rsid w:val="00D20AC3"/>
    <w:rsid w:val="00D86E6A"/>
    <w:rsid w:val="00D910D5"/>
    <w:rsid w:val="00DD3DF1"/>
    <w:rsid w:val="00DF279B"/>
    <w:rsid w:val="00E11EB8"/>
    <w:rsid w:val="00E12E87"/>
    <w:rsid w:val="00E6067C"/>
    <w:rsid w:val="00EC1EED"/>
    <w:rsid w:val="00F925FF"/>
    <w:rsid w:val="00FA3C4E"/>
    <w:rsid w:val="00FE20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56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3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C4BA4"/>
    <w:pPr>
      <w:ind w:left="720"/>
      <w:contextualSpacing/>
    </w:pPr>
  </w:style>
  <w:style w:type="character" w:styleId="Merknadsreferanse">
    <w:name w:val="annotation reference"/>
    <w:basedOn w:val="Standardskriftforavsnitt"/>
    <w:uiPriority w:val="99"/>
    <w:semiHidden/>
    <w:unhideWhenUsed/>
    <w:rsid w:val="004478A0"/>
    <w:rPr>
      <w:sz w:val="16"/>
      <w:szCs w:val="16"/>
    </w:rPr>
  </w:style>
  <w:style w:type="paragraph" w:styleId="Merknadstekst">
    <w:name w:val="annotation text"/>
    <w:basedOn w:val="Normal"/>
    <w:link w:val="MerknadstekstTegn"/>
    <w:uiPriority w:val="99"/>
    <w:semiHidden/>
    <w:unhideWhenUsed/>
    <w:rsid w:val="004478A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478A0"/>
    <w:rPr>
      <w:sz w:val="20"/>
      <w:szCs w:val="20"/>
    </w:rPr>
  </w:style>
  <w:style w:type="paragraph" w:styleId="Kommentaremne">
    <w:name w:val="annotation subject"/>
    <w:basedOn w:val="Merknadstekst"/>
    <w:next w:val="Merknadstekst"/>
    <w:link w:val="KommentaremneTegn"/>
    <w:uiPriority w:val="99"/>
    <w:semiHidden/>
    <w:unhideWhenUsed/>
    <w:rsid w:val="004478A0"/>
    <w:rPr>
      <w:b/>
      <w:bCs/>
    </w:rPr>
  </w:style>
  <w:style w:type="character" w:customStyle="1" w:styleId="KommentaremneTegn">
    <w:name w:val="Kommentaremne Tegn"/>
    <w:basedOn w:val="MerknadstekstTegn"/>
    <w:link w:val="Kommentaremne"/>
    <w:uiPriority w:val="99"/>
    <w:semiHidden/>
    <w:rsid w:val="004478A0"/>
    <w:rPr>
      <w:b/>
      <w:bCs/>
      <w:sz w:val="20"/>
      <w:szCs w:val="20"/>
    </w:rPr>
  </w:style>
  <w:style w:type="paragraph" w:styleId="Bobletekst">
    <w:name w:val="Balloon Text"/>
    <w:basedOn w:val="Normal"/>
    <w:link w:val="BobletekstTegn"/>
    <w:uiPriority w:val="99"/>
    <w:semiHidden/>
    <w:unhideWhenUsed/>
    <w:rsid w:val="004478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78A0"/>
    <w:rPr>
      <w:rFonts w:ascii="Segoe UI" w:hAnsi="Segoe UI" w:cs="Segoe UI"/>
      <w:sz w:val="18"/>
      <w:szCs w:val="18"/>
    </w:rPr>
  </w:style>
  <w:style w:type="character" w:customStyle="1" w:styleId="Overskrift1Tegn">
    <w:name w:val="Overskrift 1 Tegn"/>
    <w:basedOn w:val="Standardskriftforavsnitt"/>
    <w:link w:val="Overskrift1"/>
    <w:uiPriority w:val="9"/>
    <w:rsid w:val="0075603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56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3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C4BA4"/>
    <w:pPr>
      <w:ind w:left="720"/>
      <w:contextualSpacing/>
    </w:pPr>
  </w:style>
  <w:style w:type="character" w:styleId="Merknadsreferanse">
    <w:name w:val="annotation reference"/>
    <w:basedOn w:val="Standardskriftforavsnitt"/>
    <w:uiPriority w:val="99"/>
    <w:semiHidden/>
    <w:unhideWhenUsed/>
    <w:rsid w:val="004478A0"/>
    <w:rPr>
      <w:sz w:val="16"/>
      <w:szCs w:val="16"/>
    </w:rPr>
  </w:style>
  <w:style w:type="paragraph" w:styleId="Merknadstekst">
    <w:name w:val="annotation text"/>
    <w:basedOn w:val="Normal"/>
    <w:link w:val="MerknadstekstTegn"/>
    <w:uiPriority w:val="99"/>
    <w:semiHidden/>
    <w:unhideWhenUsed/>
    <w:rsid w:val="004478A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478A0"/>
    <w:rPr>
      <w:sz w:val="20"/>
      <w:szCs w:val="20"/>
    </w:rPr>
  </w:style>
  <w:style w:type="paragraph" w:styleId="Kommentaremne">
    <w:name w:val="annotation subject"/>
    <w:basedOn w:val="Merknadstekst"/>
    <w:next w:val="Merknadstekst"/>
    <w:link w:val="KommentaremneTegn"/>
    <w:uiPriority w:val="99"/>
    <w:semiHidden/>
    <w:unhideWhenUsed/>
    <w:rsid w:val="004478A0"/>
    <w:rPr>
      <w:b/>
      <w:bCs/>
    </w:rPr>
  </w:style>
  <w:style w:type="character" w:customStyle="1" w:styleId="KommentaremneTegn">
    <w:name w:val="Kommentaremne Tegn"/>
    <w:basedOn w:val="MerknadstekstTegn"/>
    <w:link w:val="Kommentaremne"/>
    <w:uiPriority w:val="99"/>
    <w:semiHidden/>
    <w:rsid w:val="004478A0"/>
    <w:rPr>
      <w:b/>
      <w:bCs/>
      <w:sz w:val="20"/>
      <w:szCs w:val="20"/>
    </w:rPr>
  </w:style>
  <w:style w:type="paragraph" w:styleId="Bobletekst">
    <w:name w:val="Balloon Text"/>
    <w:basedOn w:val="Normal"/>
    <w:link w:val="BobletekstTegn"/>
    <w:uiPriority w:val="99"/>
    <w:semiHidden/>
    <w:unhideWhenUsed/>
    <w:rsid w:val="004478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78A0"/>
    <w:rPr>
      <w:rFonts w:ascii="Segoe UI" w:hAnsi="Segoe UI" w:cs="Segoe UI"/>
      <w:sz w:val="18"/>
      <w:szCs w:val="18"/>
    </w:rPr>
  </w:style>
  <w:style w:type="character" w:customStyle="1" w:styleId="Overskrift1Tegn">
    <w:name w:val="Overskrift 1 Tegn"/>
    <w:basedOn w:val="Standardskriftforavsnitt"/>
    <w:link w:val="Overskrift1"/>
    <w:uiPriority w:val="9"/>
    <w:rsid w:val="007560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06E1-580D-4EDD-BB4C-66CE5B2D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9274</Characters>
  <Application>Microsoft Office Word</Application>
  <DocSecurity>4</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USN</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Magnussen</dc:creator>
  <cp:lastModifiedBy>Tor Jostein Sørlie</cp:lastModifiedBy>
  <cp:revision>2</cp:revision>
  <dcterms:created xsi:type="dcterms:W3CDTF">2020-10-06T08:47:00Z</dcterms:created>
  <dcterms:modified xsi:type="dcterms:W3CDTF">2020-10-06T08:47:00Z</dcterms:modified>
</cp:coreProperties>
</file>